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71"/>
        <w:tblW w:w="11345"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3681"/>
        <w:gridCol w:w="5675"/>
        <w:gridCol w:w="1989"/>
      </w:tblGrid>
      <w:tr w:rsidR="008912D6" w:rsidRPr="008B427B" w:rsidTr="008912D6">
        <w:trPr>
          <w:cantSplit/>
          <w:trHeight w:val="473"/>
        </w:trPr>
        <w:tc>
          <w:tcPr>
            <w:tcW w:w="3681" w:type="dxa"/>
            <w:vMerge w:val="restart"/>
          </w:tcPr>
          <w:p w:rsidR="008B427B" w:rsidRPr="008B427B" w:rsidRDefault="00E7750D" w:rsidP="00BA45DB">
            <w:pPr>
              <w:overflowPunct w:val="0"/>
              <w:autoSpaceDE w:val="0"/>
              <w:autoSpaceDN w:val="0"/>
              <w:adjustRightInd w:val="0"/>
              <w:spacing w:before="80" w:after="0" w:line="240" w:lineRule="auto"/>
              <w:jc w:val="center"/>
              <w:textAlignment w:val="baseline"/>
              <w:rPr>
                <w:rFonts w:ascii="Calibri" w:eastAsia="Times New Roman" w:hAnsi="Calibri" w:cs="Times New Roman"/>
                <w:sz w:val="20"/>
                <w:szCs w:val="20"/>
              </w:rPr>
            </w:pPr>
            <w:r>
              <w:rPr>
                <w:noProof/>
                <w:lang w:eastAsia="en-GB"/>
              </w:rPr>
              <w:drawing>
                <wp:inline distT="0" distB="0" distL="0" distR="0" wp14:anchorId="28B25F9B" wp14:editId="5E0A9772">
                  <wp:extent cx="1619250" cy="381000"/>
                  <wp:effectExtent l="0" t="0" r="0" b="0"/>
                  <wp:docPr id="3" name="Picture 3" descr="bu-core-logo-landscape"/>
                  <wp:cNvGraphicFramePr/>
                  <a:graphic xmlns:a="http://schemas.openxmlformats.org/drawingml/2006/main">
                    <a:graphicData uri="http://schemas.openxmlformats.org/drawingml/2006/picture">
                      <pic:pic xmlns:pic="http://schemas.openxmlformats.org/drawingml/2006/picture">
                        <pic:nvPicPr>
                          <pic:cNvPr id="1" name="Picture 1" descr="bu-core-logo-landscap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381000"/>
                          </a:xfrm>
                          <a:prstGeom prst="rect">
                            <a:avLst/>
                          </a:prstGeom>
                          <a:noFill/>
                          <a:ln>
                            <a:noFill/>
                          </a:ln>
                        </pic:spPr>
                      </pic:pic>
                    </a:graphicData>
                  </a:graphic>
                </wp:inline>
              </w:drawing>
            </w:r>
          </w:p>
        </w:tc>
        <w:tc>
          <w:tcPr>
            <w:tcW w:w="5675" w:type="dxa"/>
            <w:shd w:val="clear" w:color="auto" w:fill="0D0D0D" w:themeFill="text1" w:themeFillTint="F2"/>
            <w:vAlign w:val="center"/>
          </w:tcPr>
          <w:p w:rsidR="008B427B" w:rsidRPr="008B427B" w:rsidRDefault="00E7750D" w:rsidP="006D43B3">
            <w:pPr>
              <w:tabs>
                <w:tab w:val="right" w:pos="7371"/>
              </w:tabs>
              <w:overflowPunct w:val="0"/>
              <w:autoSpaceDE w:val="0"/>
              <w:autoSpaceDN w:val="0"/>
              <w:adjustRightInd w:val="0"/>
              <w:spacing w:after="0" w:line="240" w:lineRule="auto"/>
              <w:jc w:val="center"/>
              <w:textAlignment w:val="baseline"/>
              <w:rPr>
                <w:rFonts w:ascii="Calibri" w:eastAsia="Times New Roman" w:hAnsi="Calibri" w:cs="Times New Roman"/>
                <w:b/>
                <w:sz w:val="24"/>
                <w:szCs w:val="20"/>
              </w:rPr>
            </w:pPr>
            <w:r>
              <w:rPr>
                <w:rFonts w:ascii="Calibri" w:eastAsia="Times New Roman" w:hAnsi="Calibri" w:cs="Times New Roman"/>
                <w:b/>
                <w:sz w:val="32"/>
                <w:szCs w:val="20"/>
              </w:rPr>
              <w:t xml:space="preserve">Procurement </w:t>
            </w:r>
          </w:p>
        </w:tc>
        <w:tc>
          <w:tcPr>
            <w:tcW w:w="1989" w:type="dxa"/>
            <w:shd w:val="clear" w:color="auto" w:fill="FFFFFF" w:themeFill="background1"/>
            <w:vAlign w:val="center"/>
          </w:tcPr>
          <w:p w:rsidR="008B427B" w:rsidRPr="008B427B" w:rsidRDefault="00440FC6" w:rsidP="00EE3406">
            <w:pPr>
              <w:overflowPunct w:val="0"/>
              <w:autoSpaceDE w:val="0"/>
              <w:autoSpaceDN w:val="0"/>
              <w:adjustRightInd w:val="0"/>
              <w:spacing w:after="0" w:line="240" w:lineRule="auto"/>
              <w:jc w:val="center"/>
              <w:textAlignment w:val="baseline"/>
              <w:rPr>
                <w:rFonts w:ascii="Calibri" w:eastAsia="Times New Roman" w:hAnsi="Calibri" w:cs="Times New Roman"/>
              </w:rPr>
            </w:pPr>
            <w:r>
              <w:rPr>
                <w:rFonts w:ascii="Calibri" w:eastAsia="Times New Roman" w:hAnsi="Calibri" w:cs="Times New Roman"/>
              </w:rPr>
              <w:t>February</w:t>
            </w:r>
            <w:r w:rsidR="008B427B">
              <w:rPr>
                <w:rFonts w:ascii="Calibri" w:eastAsia="Times New Roman" w:hAnsi="Calibri" w:cs="Times New Roman"/>
              </w:rPr>
              <w:t xml:space="preserve"> 201</w:t>
            </w:r>
            <w:r w:rsidR="0064226D">
              <w:rPr>
                <w:rFonts w:ascii="Calibri" w:eastAsia="Times New Roman" w:hAnsi="Calibri" w:cs="Times New Roman"/>
              </w:rPr>
              <w:t>7</w:t>
            </w:r>
          </w:p>
        </w:tc>
      </w:tr>
      <w:tr w:rsidR="008B427B" w:rsidRPr="008B427B" w:rsidTr="008912D6">
        <w:trPr>
          <w:cantSplit/>
          <w:trHeight w:val="472"/>
        </w:trPr>
        <w:tc>
          <w:tcPr>
            <w:tcW w:w="3681" w:type="dxa"/>
            <w:vMerge/>
          </w:tcPr>
          <w:p w:rsidR="008B427B" w:rsidRPr="008B427B" w:rsidRDefault="008B427B" w:rsidP="006D43B3">
            <w:pPr>
              <w:overflowPunct w:val="0"/>
              <w:autoSpaceDE w:val="0"/>
              <w:autoSpaceDN w:val="0"/>
              <w:adjustRightInd w:val="0"/>
              <w:spacing w:before="80" w:after="0" w:line="240" w:lineRule="auto"/>
              <w:textAlignment w:val="baseline"/>
              <w:rPr>
                <w:rFonts w:ascii="Calibri" w:eastAsia="Times New Roman" w:hAnsi="Calibri" w:cs="Times New Roman"/>
                <w:sz w:val="20"/>
                <w:szCs w:val="20"/>
              </w:rPr>
            </w:pPr>
          </w:p>
        </w:tc>
        <w:tc>
          <w:tcPr>
            <w:tcW w:w="7664" w:type="dxa"/>
            <w:gridSpan w:val="2"/>
            <w:shd w:val="clear" w:color="auto" w:fill="F2F2F2" w:themeFill="background1" w:themeFillShade="F2"/>
            <w:vAlign w:val="center"/>
          </w:tcPr>
          <w:p w:rsidR="008B427B" w:rsidRPr="008B427B" w:rsidRDefault="00E96973" w:rsidP="003442AA">
            <w:pPr>
              <w:overflowPunct w:val="0"/>
              <w:autoSpaceDE w:val="0"/>
              <w:autoSpaceDN w:val="0"/>
              <w:adjustRightInd w:val="0"/>
              <w:spacing w:after="0" w:line="240" w:lineRule="auto"/>
              <w:jc w:val="center"/>
              <w:textAlignment w:val="baseline"/>
              <w:rPr>
                <w:rFonts w:ascii="Calibri" w:eastAsia="Times New Roman" w:hAnsi="Calibri" w:cs="Times New Roman"/>
                <w:b/>
                <w:sz w:val="20"/>
                <w:szCs w:val="20"/>
              </w:rPr>
            </w:pPr>
            <w:r>
              <w:rPr>
                <w:rFonts w:ascii="Calibri" w:eastAsia="Times New Roman" w:hAnsi="Calibri" w:cs="Times New Roman"/>
                <w:b/>
                <w:sz w:val="32"/>
                <w:szCs w:val="20"/>
              </w:rPr>
              <w:t>Supplier Insurance Level/</w:t>
            </w:r>
            <w:r w:rsidR="00235646">
              <w:rPr>
                <w:rFonts w:ascii="Calibri" w:eastAsia="Times New Roman" w:hAnsi="Calibri" w:cs="Times New Roman"/>
                <w:b/>
                <w:sz w:val="32"/>
                <w:szCs w:val="20"/>
              </w:rPr>
              <w:t>Indemnity Change</w:t>
            </w:r>
          </w:p>
        </w:tc>
      </w:tr>
    </w:tbl>
    <w:p w:rsidR="009516FB" w:rsidRPr="007E78C2" w:rsidRDefault="009516FB" w:rsidP="006D43B3">
      <w:pPr>
        <w:spacing w:after="0"/>
        <w:rPr>
          <w:b/>
          <w:sz w:val="16"/>
          <w:szCs w:val="16"/>
        </w:rPr>
      </w:pPr>
    </w:p>
    <w:tbl>
      <w:tblPr>
        <w:tblStyle w:val="TableGrid"/>
        <w:tblW w:w="11341" w:type="dxa"/>
        <w:tblInd w:w="-856"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8"/>
        <w:gridCol w:w="2835"/>
        <w:gridCol w:w="2835"/>
        <w:gridCol w:w="2723"/>
      </w:tblGrid>
      <w:tr w:rsidR="009516FB" w:rsidRPr="006D43B3" w:rsidTr="00F8653C">
        <w:trPr>
          <w:trHeight w:val="284"/>
        </w:trPr>
        <w:tc>
          <w:tcPr>
            <w:tcW w:w="11341" w:type="dxa"/>
            <w:gridSpan w:val="4"/>
            <w:shd w:val="clear" w:color="auto" w:fill="F2F2F2" w:themeFill="background1" w:themeFillShade="F2"/>
          </w:tcPr>
          <w:p w:rsidR="009516FB" w:rsidRPr="009100DA" w:rsidRDefault="009516FB" w:rsidP="00E96973">
            <w:r>
              <w:rPr>
                <w:b/>
              </w:rPr>
              <w:t>Instruction</w:t>
            </w:r>
            <w:r w:rsidR="00B176D6">
              <w:rPr>
                <w:b/>
              </w:rPr>
              <w:t>s</w:t>
            </w:r>
            <w:r>
              <w:rPr>
                <w:b/>
              </w:rPr>
              <w:t xml:space="preserve">: </w:t>
            </w:r>
            <w:r w:rsidRPr="009516FB">
              <w:t>This form is to be</w:t>
            </w:r>
            <w:r>
              <w:t xml:space="preserve"> completed when seeking approval to </w:t>
            </w:r>
            <w:r w:rsidR="00235646">
              <w:t xml:space="preserve">change any of the University’s default </w:t>
            </w:r>
            <w:r w:rsidR="00E96973">
              <w:t xml:space="preserve">supplier insurance levels and/or </w:t>
            </w:r>
            <w:r w:rsidR="00235646">
              <w:t xml:space="preserve">indemnity </w:t>
            </w:r>
            <w:r w:rsidR="00E96973">
              <w:t>provisions</w:t>
            </w:r>
            <w:r w:rsidR="0038645A">
              <w:t xml:space="preserve"> -</w:t>
            </w:r>
            <w:r w:rsidR="005E766C">
              <w:t xml:space="preserve"> which are included within </w:t>
            </w:r>
            <w:r w:rsidR="0038645A">
              <w:t>the Standard Terms &amp; Conditions –</w:t>
            </w:r>
            <w:r w:rsidR="005E766C">
              <w:t xml:space="preserve"> </w:t>
            </w:r>
            <w:r w:rsidR="0038645A">
              <w:t>based on the risks presented by the specific contract</w:t>
            </w:r>
            <w:r w:rsidR="005E766C">
              <w:t>:</w:t>
            </w:r>
          </w:p>
        </w:tc>
      </w:tr>
      <w:tr w:rsidR="005E766C" w:rsidRPr="006D43B3" w:rsidTr="00F8653C">
        <w:trPr>
          <w:trHeight w:val="284"/>
        </w:trPr>
        <w:tc>
          <w:tcPr>
            <w:tcW w:w="2948" w:type="dxa"/>
            <w:shd w:val="clear" w:color="auto" w:fill="F2F2F2" w:themeFill="background1" w:themeFillShade="F2"/>
          </w:tcPr>
          <w:p w:rsidR="005E766C" w:rsidRPr="005E766C" w:rsidRDefault="005E766C" w:rsidP="005E766C">
            <w:pPr>
              <w:jc w:val="center"/>
              <w:rPr>
                <w:b/>
              </w:rPr>
            </w:pPr>
            <w:r w:rsidRPr="005E766C">
              <w:rPr>
                <w:b/>
              </w:rPr>
              <w:t>Type of Insurance</w:t>
            </w:r>
          </w:p>
        </w:tc>
        <w:tc>
          <w:tcPr>
            <w:tcW w:w="2835" w:type="dxa"/>
            <w:shd w:val="clear" w:color="auto" w:fill="F2F2F2" w:themeFill="background1" w:themeFillShade="F2"/>
          </w:tcPr>
          <w:p w:rsidR="005E766C" w:rsidRPr="005E766C" w:rsidRDefault="005E766C" w:rsidP="005E766C">
            <w:pPr>
              <w:jc w:val="center"/>
              <w:rPr>
                <w:b/>
              </w:rPr>
            </w:pPr>
            <w:r w:rsidRPr="005E766C">
              <w:rPr>
                <w:b/>
              </w:rPr>
              <w:t>Works</w:t>
            </w:r>
          </w:p>
        </w:tc>
        <w:tc>
          <w:tcPr>
            <w:tcW w:w="2835" w:type="dxa"/>
            <w:shd w:val="clear" w:color="auto" w:fill="F2F2F2" w:themeFill="background1" w:themeFillShade="F2"/>
          </w:tcPr>
          <w:p w:rsidR="005E766C" w:rsidRPr="005E766C" w:rsidRDefault="005E766C" w:rsidP="005E766C">
            <w:pPr>
              <w:jc w:val="center"/>
              <w:rPr>
                <w:b/>
              </w:rPr>
            </w:pPr>
            <w:r w:rsidRPr="005E766C">
              <w:rPr>
                <w:b/>
              </w:rPr>
              <w:t>Goods/Services</w:t>
            </w:r>
          </w:p>
        </w:tc>
        <w:tc>
          <w:tcPr>
            <w:tcW w:w="2723" w:type="dxa"/>
            <w:shd w:val="clear" w:color="auto" w:fill="F2F2F2" w:themeFill="background1" w:themeFillShade="F2"/>
          </w:tcPr>
          <w:p w:rsidR="005E766C" w:rsidRPr="005E766C" w:rsidRDefault="005E766C" w:rsidP="005E766C">
            <w:pPr>
              <w:jc w:val="center"/>
              <w:rPr>
                <w:b/>
              </w:rPr>
            </w:pPr>
            <w:r w:rsidRPr="005E766C">
              <w:rPr>
                <w:b/>
              </w:rPr>
              <w:t>Consultants</w:t>
            </w:r>
          </w:p>
        </w:tc>
      </w:tr>
      <w:tr w:rsidR="005E766C" w:rsidRPr="006D43B3" w:rsidTr="00F8653C">
        <w:trPr>
          <w:trHeight w:val="284"/>
        </w:trPr>
        <w:tc>
          <w:tcPr>
            <w:tcW w:w="2948" w:type="dxa"/>
            <w:shd w:val="clear" w:color="auto" w:fill="F2F2F2" w:themeFill="background1" w:themeFillShade="F2"/>
          </w:tcPr>
          <w:p w:rsidR="005E766C" w:rsidRPr="0038645A" w:rsidRDefault="005E766C" w:rsidP="0038645A">
            <w:pPr>
              <w:jc w:val="center"/>
            </w:pPr>
            <w:r w:rsidRPr="0038645A">
              <w:t>Employers Liability</w:t>
            </w:r>
          </w:p>
        </w:tc>
        <w:tc>
          <w:tcPr>
            <w:tcW w:w="2835" w:type="dxa"/>
            <w:shd w:val="clear" w:color="auto" w:fill="F2F2F2" w:themeFill="background1" w:themeFillShade="F2"/>
          </w:tcPr>
          <w:p w:rsidR="005E766C" w:rsidRDefault="005E766C" w:rsidP="0038645A">
            <w:pPr>
              <w:jc w:val="center"/>
              <w:rPr>
                <w:b/>
              </w:rPr>
            </w:pPr>
            <w:r>
              <w:t>£10m</w:t>
            </w:r>
          </w:p>
        </w:tc>
        <w:tc>
          <w:tcPr>
            <w:tcW w:w="2835" w:type="dxa"/>
            <w:shd w:val="clear" w:color="auto" w:fill="F2F2F2" w:themeFill="background1" w:themeFillShade="F2"/>
          </w:tcPr>
          <w:p w:rsidR="005E766C" w:rsidRDefault="005E766C" w:rsidP="005E589E">
            <w:pPr>
              <w:jc w:val="center"/>
              <w:rPr>
                <w:b/>
              </w:rPr>
            </w:pPr>
            <w:r>
              <w:t>£</w:t>
            </w:r>
            <w:r w:rsidR="005E589E">
              <w:t>10</w:t>
            </w:r>
            <w:r>
              <w:t>m</w:t>
            </w:r>
          </w:p>
        </w:tc>
        <w:tc>
          <w:tcPr>
            <w:tcW w:w="2723" w:type="dxa"/>
            <w:shd w:val="clear" w:color="auto" w:fill="F2F2F2" w:themeFill="background1" w:themeFillShade="F2"/>
          </w:tcPr>
          <w:p w:rsidR="005E766C" w:rsidRPr="005E766C" w:rsidRDefault="005E766C" w:rsidP="005E589E">
            <w:pPr>
              <w:jc w:val="center"/>
            </w:pPr>
            <w:r>
              <w:t>£</w:t>
            </w:r>
            <w:r w:rsidR="005E589E">
              <w:t>10</w:t>
            </w:r>
            <w:r>
              <w:t>m</w:t>
            </w:r>
          </w:p>
        </w:tc>
      </w:tr>
      <w:tr w:rsidR="005E766C" w:rsidRPr="006D43B3" w:rsidTr="00F8653C">
        <w:trPr>
          <w:trHeight w:val="284"/>
        </w:trPr>
        <w:tc>
          <w:tcPr>
            <w:tcW w:w="2948" w:type="dxa"/>
            <w:shd w:val="clear" w:color="auto" w:fill="F2F2F2" w:themeFill="background1" w:themeFillShade="F2"/>
          </w:tcPr>
          <w:p w:rsidR="005E766C" w:rsidRPr="0038645A" w:rsidRDefault="005E766C" w:rsidP="0038645A">
            <w:pPr>
              <w:jc w:val="center"/>
            </w:pPr>
            <w:r w:rsidRPr="0038645A">
              <w:t>Public Liability</w:t>
            </w:r>
          </w:p>
        </w:tc>
        <w:tc>
          <w:tcPr>
            <w:tcW w:w="2835" w:type="dxa"/>
            <w:shd w:val="clear" w:color="auto" w:fill="F2F2F2" w:themeFill="background1" w:themeFillShade="F2"/>
          </w:tcPr>
          <w:p w:rsidR="005E766C" w:rsidRDefault="005E766C" w:rsidP="0038645A">
            <w:pPr>
              <w:jc w:val="center"/>
              <w:rPr>
                <w:b/>
              </w:rPr>
            </w:pPr>
            <w:r>
              <w:t>£10m</w:t>
            </w:r>
          </w:p>
        </w:tc>
        <w:tc>
          <w:tcPr>
            <w:tcW w:w="2835" w:type="dxa"/>
            <w:shd w:val="clear" w:color="auto" w:fill="F2F2F2" w:themeFill="background1" w:themeFillShade="F2"/>
          </w:tcPr>
          <w:p w:rsidR="005E766C" w:rsidRDefault="005E766C" w:rsidP="0038645A">
            <w:pPr>
              <w:jc w:val="center"/>
              <w:rPr>
                <w:b/>
              </w:rPr>
            </w:pPr>
            <w:r>
              <w:t>£10m</w:t>
            </w:r>
          </w:p>
        </w:tc>
        <w:tc>
          <w:tcPr>
            <w:tcW w:w="2723" w:type="dxa"/>
            <w:shd w:val="clear" w:color="auto" w:fill="F2F2F2" w:themeFill="background1" w:themeFillShade="F2"/>
          </w:tcPr>
          <w:p w:rsidR="005E766C" w:rsidRPr="005E766C" w:rsidRDefault="005E766C" w:rsidP="0038645A">
            <w:pPr>
              <w:jc w:val="center"/>
            </w:pPr>
            <w:r>
              <w:t>£10m</w:t>
            </w:r>
          </w:p>
        </w:tc>
      </w:tr>
      <w:tr w:rsidR="005E766C" w:rsidRPr="006D43B3" w:rsidTr="00F8653C">
        <w:trPr>
          <w:trHeight w:val="284"/>
        </w:trPr>
        <w:tc>
          <w:tcPr>
            <w:tcW w:w="2948" w:type="dxa"/>
            <w:shd w:val="clear" w:color="auto" w:fill="F2F2F2" w:themeFill="background1" w:themeFillShade="F2"/>
          </w:tcPr>
          <w:p w:rsidR="005E766C" w:rsidRPr="0038645A" w:rsidRDefault="005E766C" w:rsidP="0038645A">
            <w:pPr>
              <w:jc w:val="center"/>
            </w:pPr>
            <w:r w:rsidRPr="0038645A">
              <w:t>Professional Indemnity</w:t>
            </w:r>
          </w:p>
        </w:tc>
        <w:tc>
          <w:tcPr>
            <w:tcW w:w="2835" w:type="dxa"/>
            <w:shd w:val="clear" w:color="auto" w:fill="F2F2F2" w:themeFill="background1" w:themeFillShade="F2"/>
          </w:tcPr>
          <w:p w:rsidR="005E766C" w:rsidRDefault="005E766C" w:rsidP="0038645A">
            <w:pPr>
              <w:jc w:val="center"/>
              <w:rPr>
                <w:b/>
              </w:rPr>
            </w:pPr>
            <w:r>
              <w:t>£2m</w:t>
            </w:r>
          </w:p>
        </w:tc>
        <w:tc>
          <w:tcPr>
            <w:tcW w:w="2835" w:type="dxa"/>
            <w:shd w:val="clear" w:color="auto" w:fill="F2F2F2" w:themeFill="background1" w:themeFillShade="F2"/>
          </w:tcPr>
          <w:p w:rsidR="005E766C" w:rsidRDefault="005E766C" w:rsidP="0038645A">
            <w:pPr>
              <w:jc w:val="center"/>
              <w:rPr>
                <w:b/>
              </w:rPr>
            </w:pPr>
            <w:r>
              <w:t>£2m</w:t>
            </w:r>
          </w:p>
        </w:tc>
        <w:tc>
          <w:tcPr>
            <w:tcW w:w="2723" w:type="dxa"/>
            <w:shd w:val="clear" w:color="auto" w:fill="F2F2F2" w:themeFill="background1" w:themeFillShade="F2"/>
          </w:tcPr>
          <w:p w:rsidR="005E766C" w:rsidRPr="005E766C" w:rsidRDefault="005E766C" w:rsidP="0038645A">
            <w:pPr>
              <w:jc w:val="center"/>
            </w:pPr>
            <w:r>
              <w:t>£10m</w:t>
            </w:r>
          </w:p>
        </w:tc>
      </w:tr>
      <w:tr w:rsidR="00E96973" w:rsidRPr="006D43B3" w:rsidTr="00F8653C">
        <w:trPr>
          <w:trHeight w:val="284"/>
        </w:trPr>
        <w:tc>
          <w:tcPr>
            <w:tcW w:w="11341" w:type="dxa"/>
            <w:gridSpan w:val="4"/>
            <w:shd w:val="clear" w:color="auto" w:fill="F2F2F2" w:themeFill="background1" w:themeFillShade="F2"/>
          </w:tcPr>
          <w:p w:rsidR="00E96973" w:rsidRDefault="00E96973" w:rsidP="00E96973">
            <w:r>
              <w:t xml:space="preserve">As a default, the University’s </w:t>
            </w:r>
            <w:r w:rsidRPr="00E96973">
              <w:t>Standard Terms &amp; Conditions</w:t>
            </w:r>
            <w:r>
              <w:t xml:space="preserve"> require suppliers to fully indemnify the University against all liabilities resulting from the supplier being at fault. </w:t>
            </w:r>
          </w:p>
        </w:tc>
      </w:tr>
    </w:tbl>
    <w:p w:rsidR="009516FB" w:rsidRPr="007E78C2" w:rsidRDefault="009516FB" w:rsidP="006D43B3">
      <w:pPr>
        <w:spacing w:after="0"/>
        <w:rPr>
          <w:sz w:val="16"/>
          <w:szCs w:val="16"/>
        </w:rPr>
      </w:pPr>
    </w:p>
    <w:tbl>
      <w:tblPr>
        <w:tblStyle w:val="TableGrid"/>
        <w:tblW w:w="11341" w:type="dxa"/>
        <w:tblInd w:w="-856"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8"/>
        <w:gridCol w:w="3544"/>
        <w:gridCol w:w="1417"/>
        <w:gridCol w:w="2835"/>
        <w:gridCol w:w="709"/>
        <w:gridCol w:w="1588"/>
      </w:tblGrid>
      <w:tr w:rsidR="006D43B3" w:rsidRPr="006D43B3" w:rsidTr="00F8653C">
        <w:trPr>
          <w:trHeight w:val="284"/>
        </w:trPr>
        <w:tc>
          <w:tcPr>
            <w:tcW w:w="11341" w:type="dxa"/>
            <w:gridSpan w:val="6"/>
            <w:shd w:val="clear" w:color="auto" w:fill="F2F2F2" w:themeFill="background1" w:themeFillShade="F2"/>
          </w:tcPr>
          <w:p w:rsidR="006D43B3" w:rsidRPr="009100DA" w:rsidRDefault="004E34D5" w:rsidP="004E34D5">
            <w:r>
              <w:rPr>
                <w:b/>
              </w:rPr>
              <w:t>(</w:t>
            </w:r>
            <w:r w:rsidR="009100DA">
              <w:rPr>
                <w:b/>
              </w:rPr>
              <w:t>A</w:t>
            </w:r>
            <w:r>
              <w:rPr>
                <w:b/>
              </w:rPr>
              <w:t>)</w:t>
            </w:r>
            <w:r w:rsidR="009100DA">
              <w:rPr>
                <w:b/>
              </w:rPr>
              <w:t xml:space="preserve"> </w:t>
            </w:r>
            <w:r w:rsidR="006D43B3" w:rsidRPr="009100DA">
              <w:rPr>
                <w:b/>
              </w:rPr>
              <w:t>The Procurer:</w:t>
            </w:r>
          </w:p>
        </w:tc>
      </w:tr>
      <w:tr w:rsidR="006138E5" w:rsidRPr="006D43B3" w:rsidTr="00F8653C">
        <w:trPr>
          <w:trHeight w:val="284"/>
        </w:trPr>
        <w:tc>
          <w:tcPr>
            <w:tcW w:w="1248" w:type="dxa"/>
            <w:tcBorders>
              <w:top w:val="single" w:sz="4" w:space="0" w:color="BFBFBF" w:themeColor="background1" w:themeShade="BF"/>
              <w:bottom w:val="single" w:sz="4" w:space="0" w:color="auto"/>
            </w:tcBorders>
            <w:shd w:val="clear" w:color="auto" w:fill="F2F2F2" w:themeFill="background1" w:themeFillShade="F2"/>
          </w:tcPr>
          <w:p w:rsidR="006138E5" w:rsidRPr="009100DA" w:rsidRDefault="006138E5" w:rsidP="006D43B3">
            <w:r w:rsidRPr="009100DA">
              <w:t>N</w:t>
            </w:r>
            <w:r w:rsidRPr="004E34D5">
              <w:rPr>
                <w:shd w:val="clear" w:color="auto" w:fill="F2F2F2" w:themeFill="background1" w:themeFillShade="F2"/>
              </w:rPr>
              <w:t>ame</w:t>
            </w:r>
          </w:p>
        </w:tc>
        <w:tc>
          <w:tcPr>
            <w:tcW w:w="3544" w:type="dxa"/>
          </w:tcPr>
          <w:p w:rsidR="006138E5" w:rsidRPr="009100DA" w:rsidRDefault="006138E5" w:rsidP="006D43B3"/>
        </w:tc>
        <w:tc>
          <w:tcPr>
            <w:tcW w:w="1417" w:type="dxa"/>
            <w:tcBorders>
              <w:top w:val="single" w:sz="4" w:space="0" w:color="BFBFBF" w:themeColor="background1" w:themeShade="BF"/>
              <w:bottom w:val="single" w:sz="4" w:space="0" w:color="auto"/>
            </w:tcBorders>
            <w:shd w:val="clear" w:color="auto" w:fill="F2F2F2" w:themeFill="background1" w:themeFillShade="F2"/>
          </w:tcPr>
          <w:p w:rsidR="006138E5" w:rsidRPr="009100DA" w:rsidRDefault="006138E5" w:rsidP="006D43B3">
            <w:r w:rsidRPr="009100DA">
              <w:t>Department</w:t>
            </w:r>
          </w:p>
        </w:tc>
        <w:tc>
          <w:tcPr>
            <w:tcW w:w="2835" w:type="dxa"/>
          </w:tcPr>
          <w:p w:rsidR="006138E5" w:rsidRPr="009100DA" w:rsidRDefault="006138E5" w:rsidP="006D43B3"/>
        </w:tc>
        <w:tc>
          <w:tcPr>
            <w:tcW w:w="709" w:type="dxa"/>
            <w:tcBorders>
              <w:top w:val="single" w:sz="4" w:space="0" w:color="BFBFBF" w:themeColor="background1" w:themeShade="BF"/>
              <w:bottom w:val="single" w:sz="4" w:space="0" w:color="auto"/>
            </w:tcBorders>
            <w:shd w:val="clear" w:color="auto" w:fill="F2F2F2" w:themeFill="background1" w:themeFillShade="F2"/>
          </w:tcPr>
          <w:p w:rsidR="006138E5" w:rsidRPr="009100DA" w:rsidRDefault="006138E5" w:rsidP="006D43B3">
            <w:r>
              <w:t>Date</w:t>
            </w:r>
          </w:p>
        </w:tc>
        <w:tc>
          <w:tcPr>
            <w:tcW w:w="1588" w:type="dxa"/>
          </w:tcPr>
          <w:p w:rsidR="006138E5" w:rsidRPr="009100DA" w:rsidRDefault="006138E5" w:rsidP="006D43B3"/>
        </w:tc>
      </w:tr>
    </w:tbl>
    <w:p w:rsidR="006D43B3" w:rsidRPr="007E78C2" w:rsidRDefault="006D43B3" w:rsidP="006D43B3">
      <w:pPr>
        <w:spacing w:after="0"/>
        <w:rPr>
          <w:sz w:val="16"/>
          <w:szCs w:val="16"/>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CellMar>
          <w:top w:w="29" w:type="dxa"/>
          <w:left w:w="115" w:type="dxa"/>
          <w:bottom w:w="29" w:type="dxa"/>
          <w:right w:w="115" w:type="dxa"/>
        </w:tblCellMar>
        <w:tblLook w:val="01E0" w:firstRow="1" w:lastRow="1" w:firstColumn="1" w:lastColumn="1" w:noHBand="0" w:noVBand="0"/>
      </w:tblPr>
      <w:tblGrid>
        <w:gridCol w:w="2105"/>
        <w:gridCol w:w="1843"/>
        <w:gridCol w:w="1701"/>
        <w:gridCol w:w="1276"/>
        <w:gridCol w:w="567"/>
        <w:gridCol w:w="850"/>
        <w:gridCol w:w="1276"/>
        <w:gridCol w:w="1723"/>
      </w:tblGrid>
      <w:tr w:rsidR="00E16067" w:rsidRPr="00E16067" w:rsidTr="00F8653C">
        <w:trPr>
          <w:trHeight w:val="284"/>
        </w:trPr>
        <w:tc>
          <w:tcPr>
            <w:tcW w:w="11341" w:type="dxa"/>
            <w:gridSpan w:val="8"/>
            <w:shd w:val="clear" w:color="auto" w:fill="F2F2F2" w:themeFill="background1" w:themeFillShade="F2"/>
          </w:tcPr>
          <w:p w:rsidR="00E16067" w:rsidRPr="00E16067" w:rsidRDefault="004E34D5" w:rsidP="000F4170">
            <w:pPr>
              <w:overflowPunct w:val="0"/>
              <w:autoSpaceDE w:val="0"/>
              <w:autoSpaceDN w:val="0"/>
              <w:adjustRightInd w:val="0"/>
              <w:spacing w:after="0" w:line="240" w:lineRule="auto"/>
              <w:textAlignment w:val="baseline"/>
              <w:rPr>
                <w:rFonts w:ascii="Calibri" w:eastAsia="Times New Roman" w:hAnsi="Calibri" w:cs="Times New Roman"/>
                <w:b/>
              </w:rPr>
            </w:pPr>
            <w:r>
              <w:rPr>
                <w:rFonts w:ascii="Calibri" w:eastAsia="Times New Roman" w:hAnsi="Calibri" w:cs="Times New Roman"/>
                <w:b/>
              </w:rPr>
              <w:t>(B)</w:t>
            </w:r>
            <w:r w:rsidR="009100DA">
              <w:rPr>
                <w:rFonts w:ascii="Calibri" w:eastAsia="Times New Roman" w:hAnsi="Calibri" w:cs="Times New Roman"/>
                <w:b/>
              </w:rPr>
              <w:t xml:space="preserve"> </w:t>
            </w:r>
            <w:r w:rsidR="000F4170">
              <w:rPr>
                <w:rFonts w:ascii="Calibri" w:eastAsia="Times New Roman" w:hAnsi="Calibri" w:cs="Times New Roman"/>
                <w:b/>
              </w:rPr>
              <w:t>The Contract</w:t>
            </w:r>
            <w:r w:rsidR="00E16067" w:rsidRPr="00E16067">
              <w:rPr>
                <w:rFonts w:ascii="Calibri" w:eastAsia="Times New Roman" w:hAnsi="Calibri" w:cs="Times New Roman"/>
                <w:b/>
              </w:rPr>
              <w:t>/</w:t>
            </w:r>
            <w:r w:rsidR="00132637" w:rsidRPr="00B176D6">
              <w:rPr>
                <w:rFonts w:ascii="Calibri" w:eastAsia="Times New Roman" w:hAnsi="Calibri" w:cs="Times New Roman"/>
                <w:b/>
              </w:rPr>
              <w:t>Framework</w:t>
            </w:r>
            <w:r w:rsidR="00B176D6" w:rsidRPr="00B176D6">
              <w:rPr>
                <w:rFonts w:ascii="Calibri" w:eastAsia="Times New Roman" w:hAnsi="Calibri" w:cs="Times New Roman"/>
                <w:b/>
              </w:rPr>
              <w:t xml:space="preserve"> Agreement</w:t>
            </w:r>
            <w:r w:rsidR="00A32D6B">
              <w:rPr>
                <w:rFonts w:ascii="Calibri" w:eastAsia="Times New Roman" w:hAnsi="Calibri" w:cs="Times New Roman"/>
                <w:b/>
              </w:rPr>
              <w:t>/</w:t>
            </w:r>
            <w:r w:rsidR="00A32D6B" w:rsidRPr="00B176D6">
              <w:rPr>
                <w:rFonts w:ascii="Calibri" w:eastAsia="Times New Roman" w:hAnsi="Calibri" w:cs="Times New Roman"/>
                <w:b/>
              </w:rPr>
              <w:t>Order</w:t>
            </w:r>
            <w:r w:rsidR="00E16067">
              <w:rPr>
                <w:rFonts w:ascii="Calibri" w:eastAsia="Times New Roman" w:hAnsi="Calibri" w:cs="Times New Roman"/>
                <w:b/>
              </w:rPr>
              <w:t>:</w:t>
            </w:r>
          </w:p>
        </w:tc>
      </w:tr>
      <w:tr w:rsidR="006D43B3" w:rsidRPr="00E16067" w:rsidTr="00F8653C">
        <w:trPr>
          <w:trHeight w:val="284"/>
        </w:trPr>
        <w:tc>
          <w:tcPr>
            <w:tcW w:w="5649" w:type="dxa"/>
            <w:gridSpan w:val="3"/>
            <w:shd w:val="clear" w:color="auto" w:fill="F2F2F2" w:themeFill="background1" w:themeFillShade="F2"/>
          </w:tcPr>
          <w:p w:rsidR="006D43B3" w:rsidRPr="00E16067" w:rsidRDefault="006D43B3" w:rsidP="00E1453A">
            <w:pPr>
              <w:overflowPunct w:val="0"/>
              <w:autoSpaceDE w:val="0"/>
              <w:autoSpaceDN w:val="0"/>
              <w:adjustRightInd w:val="0"/>
              <w:spacing w:after="0" w:line="240" w:lineRule="auto"/>
              <w:textAlignment w:val="baseline"/>
              <w:rPr>
                <w:rFonts w:ascii="Calibri" w:eastAsia="Times New Roman" w:hAnsi="Calibri" w:cs="Times New Roman"/>
              </w:rPr>
            </w:pPr>
            <w:r w:rsidRPr="00E16067">
              <w:rPr>
                <w:rFonts w:ascii="Calibri" w:eastAsia="Times New Roman" w:hAnsi="Calibri" w:cs="Times New Roman"/>
              </w:rPr>
              <w:t>Description of Goods / Services / Works</w:t>
            </w:r>
          </w:p>
        </w:tc>
        <w:tc>
          <w:tcPr>
            <w:tcW w:w="5692" w:type="dxa"/>
            <w:gridSpan w:val="5"/>
            <w:vAlign w:val="center"/>
          </w:tcPr>
          <w:p w:rsidR="006D43B3" w:rsidRDefault="006D43B3" w:rsidP="00E16067">
            <w:pPr>
              <w:overflowPunct w:val="0"/>
              <w:autoSpaceDE w:val="0"/>
              <w:autoSpaceDN w:val="0"/>
              <w:adjustRightInd w:val="0"/>
              <w:spacing w:after="0" w:line="240" w:lineRule="auto"/>
              <w:textAlignment w:val="baseline"/>
              <w:rPr>
                <w:rFonts w:ascii="Calibri" w:eastAsia="Times New Roman" w:hAnsi="Calibri" w:cs="Times New Roman"/>
              </w:rPr>
            </w:pPr>
          </w:p>
          <w:p w:rsidR="006D43B3" w:rsidRPr="00E16067" w:rsidRDefault="006D43B3" w:rsidP="00E16067">
            <w:pPr>
              <w:overflowPunct w:val="0"/>
              <w:autoSpaceDE w:val="0"/>
              <w:autoSpaceDN w:val="0"/>
              <w:adjustRightInd w:val="0"/>
              <w:spacing w:after="0" w:line="240" w:lineRule="auto"/>
              <w:textAlignment w:val="baseline"/>
              <w:rPr>
                <w:rFonts w:ascii="Calibri" w:eastAsia="Times New Roman" w:hAnsi="Calibri" w:cs="Times New Roman"/>
              </w:rPr>
            </w:pPr>
          </w:p>
        </w:tc>
      </w:tr>
      <w:tr w:rsidR="00BA0090" w:rsidRPr="00E16067" w:rsidTr="00F8653C">
        <w:trPr>
          <w:trHeight w:val="284"/>
        </w:trPr>
        <w:tc>
          <w:tcPr>
            <w:tcW w:w="2105" w:type="dxa"/>
            <w:shd w:val="clear" w:color="auto" w:fill="F2F2F2" w:themeFill="background1" w:themeFillShade="F2"/>
          </w:tcPr>
          <w:p w:rsidR="00BA0090" w:rsidRPr="00242B6F" w:rsidRDefault="00BA0090" w:rsidP="00E16067">
            <w:pPr>
              <w:overflowPunct w:val="0"/>
              <w:autoSpaceDE w:val="0"/>
              <w:autoSpaceDN w:val="0"/>
              <w:adjustRightInd w:val="0"/>
              <w:spacing w:after="0" w:line="240" w:lineRule="auto"/>
              <w:textAlignment w:val="baseline"/>
              <w:rPr>
                <w:rFonts w:ascii="Calibri" w:eastAsia="Times New Roman" w:hAnsi="Calibri" w:cs="Times New Roman"/>
              </w:rPr>
            </w:pPr>
            <w:r w:rsidRPr="00242B6F">
              <w:rPr>
                <w:rFonts w:ascii="Calibri" w:eastAsia="Times New Roman" w:hAnsi="Calibri" w:cs="Times New Roman"/>
              </w:rPr>
              <w:t>Contract Start Date</w:t>
            </w:r>
          </w:p>
        </w:tc>
        <w:tc>
          <w:tcPr>
            <w:tcW w:w="1843" w:type="dxa"/>
            <w:shd w:val="clear" w:color="auto" w:fill="FFFFFF" w:themeFill="background1"/>
          </w:tcPr>
          <w:p w:rsidR="00BA0090" w:rsidRPr="00242B6F" w:rsidRDefault="00BA0090" w:rsidP="00E16067">
            <w:pPr>
              <w:overflowPunct w:val="0"/>
              <w:autoSpaceDE w:val="0"/>
              <w:autoSpaceDN w:val="0"/>
              <w:adjustRightInd w:val="0"/>
              <w:spacing w:after="0" w:line="240" w:lineRule="auto"/>
              <w:textAlignment w:val="baseline"/>
              <w:rPr>
                <w:rFonts w:ascii="Calibri" w:eastAsia="Times New Roman" w:hAnsi="Calibri" w:cs="Times New Roman"/>
              </w:rPr>
            </w:pPr>
          </w:p>
        </w:tc>
        <w:tc>
          <w:tcPr>
            <w:tcW w:w="1701" w:type="dxa"/>
            <w:shd w:val="clear" w:color="auto" w:fill="F2F2F2" w:themeFill="background1" w:themeFillShade="F2"/>
          </w:tcPr>
          <w:p w:rsidR="00BA0090" w:rsidRPr="00242B6F" w:rsidRDefault="00BA0090" w:rsidP="00E16067">
            <w:pPr>
              <w:overflowPunct w:val="0"/>
              <w:autoSpaceDE w:val="0"/>
              <w:autoSpaceDN w:val="0"/>
              <w:adjustRightInd w:val="0"/>
              <w:spacing w:after="0" w:line="240" w:lineRule="auto"/>
              <w:textAlignment w:val="baseline"/>
              <w:rPr>
                <w:rFonts w:ascii="Calibri" w:eastAsia="Times New Roman" w:hAnsi="Calibri" w:cs="Times New Roman"/>
              </w:rPr>
            </w:pPr>
            <w:r w:rsidRPr="00242B6F">
              <w:rPr>
                <w:rFonts w:ascii="Calibri" w:eastAsia="Times New Roman" w:hAnsi="Calibri" w:cs="Times New Roman"/>
              </w:rPr>
              <w:t>End Date</w:t>
            </w:r>
          </w:p>
        </w:tc>
        <w:tc>
          <w:tcPr>
            <w:tcW w:w="1843" w:type="dxa"/>
            <w:gridSpan w:val="2"/>
            <w:shd w:val="clear" w:color="auto" w:fill="FFFFFF" w:themeFill="background1"/>
          </w:tcPr>
          <w:p w:rsidR="00BA0090" w:rsidRPr="00242B6F" w:rsidRDefault="00BA0090" w:rsidP="00E16067">
            <w:pPr>
              <w:overflowPunct w:val="0"/>
              <w:autoSpaceDE w:val="0"/>
              <w:autoSpaceDN w:val="0"/>
              <w:adjustRightInd w:val="0"/>
              <w:spacing w:after="0" w:line="240" w:lineRule="auto"/>
              <w:textAlignment w:val="baseline"/>
              <w:rPr>
                <w:rFonts w:ascii="Calibri" w:eastAsia="Times New Roman" w:hAnsi="Calibri" w:cs="Times New Roman"/>
              </w:rPr>
            </w:pPr>
          </w:p>
        </w:tc>
        <w:tc>
          <w:tcPr>
            <w:tcW w:w="2126" w:type="dxa"/>
            <w:gridSpan w:val="2"/>
            <w:shd w:val="clear" w:color="auto" w:fill="F2F2F2" w:themeFill="background1" w:themeFillShade="F2"/>
          </w:tcPr>
          <w:p w:rsidR="00BA0090" w:rsidRPr="00242B6F" w:rsidRDefault="00242B6F" w:rsidP="00E16067">
            <w:pPr>
              <w:overflowPunct w:val="0"/>
              <w:autoSpaceDE w:val="0"/>
              <w:autoSpaceDN w:val="0"/>
              <w:adjustRightInd w:val="0"/>
              <w:spacing w:after="0" w:line="240" w:lineRule="auto"/>
              <w:textAlignment w:val="baseline"/>
              <w:rPr>
                <w:rFonts w:ascii="Calibri" w:eastAsia="Times New Roman" w:hAnsi="Calibri" w:cs="Times New Roman"/>
              </w:rPr>
            </w:pPr>
            <w:r w:rsidRPr="00242B6F">
              <w:rPr>
                <w:rFonts w:ascii="Calibri" w:eastAsia="Times New Roman" w:hAnsi="Calibri" w:cs="Times New Roman"/>
              </w:rPr>
              <w:t>Extension option</w:t>
            </w:r>
          </w:p>
        </w:tc>
        <w:tc>
          <w:tcPr>
            <w:tcW w:w="1723" w:type="dxa"/>
            <w:shd w:val="clear" w:color="auto" w:fill="FFFFFF" w:themeFill="background1"/>
          </w:tcPr>
          <w:p w:rsidR="00BA0090" w:rsidRPr="00E16067" w:rsidRDefault="00BA0090" w:rsidP="00E16067">
            <w:pPr>
              <w:overflowPunct w:val="0"/>
              <w:autoSpaceDE w:val="0"/>
              <w:autoSpaceDN w:val="0"/>
              <w:adjustRightInd w:val="0"/>
              <w:spacing w:after="0" w:line="240" w:lineRule="auto"/>
              <w:textAlignment w:val="baseline"/>
              <w:rPr>
                <w:rFonts w:ascii="Calibri" w:eastAsia="Times New Roman" w:hAnsi="Calibri" w:cs="Times New Roman"/>
              </w:rPr>
            </w:pPr>
          </w:p>
        </w:tc>
      </w:tr>
      <w:tr w:rsidR="006D43B3" w:rsidRPr="00E16067" w:rsidTr="00F8653C">
        <w:trPr>
          <w:trHeight w:val="284"/>
        </w:trPr>
        <w:tc>
          <w:tcPr>
            <w:tcW w:w="5649" w:type="dxa"/>
            <w:gridSpan w:val="3"/>
            <w:shd w:val="clear" w:color="auto" w:fill="F2F2F2" w:themeFill="background1" w:themeFillShade="F2"/>
          </w:tcPr>
          <w:p w:rsidR="006D43B3" w:rsidRPr="00E16067" w:rsidRDefault="006D43B3" w:rsidP="000F4170">
            <w:pPr>
              <w:overflowPunct w:val="0"/>
              <w:autoSpaceDE w:val="0"/>
              <w:autoSpaceDN w:val="0"/>
              <w:adjustRightInd w:val="0"/>
              <w:spacing w:after="100" w:afterAutospacing="1" w:line="240" w:lineRule="auto"/>
              <w:textAlignment w:val="baseline"/>
              <w:rPr>
                <w:rFonts w:ascii="Calibri" w:eastAsia="Times New Roman" w:hAnsi="Calibri" w:cs="Times New Roman"/>
              </w:rPr>
            </w:pPr>
            <w:r w:rsidRPr="00E16067">
              <w:rPr>
                <w:rFonts w:ascii="Calibri" w:eastAsia="Times New Roman" w:hAnsi="Calibri" w:cs="Times New Roman"/>
              </w:rPr>
              <w:t>Total Value of Contract</w:t>
            </w:r>
            <w:r w:rsidR="000F4170">
              <w:rPr>
                <w:rFonts w:ascii="Calibri" w:eastAsia="Times New Roman" w:hAnsi="Calibri" w:cs="Times New Roman"/>
              </w:rPr>
              <w:t>/Framework/Order</w:t>
            </w:r>
            <w:r w:rsidRPr="00E16067">
              <w:rPr>
                <w:rFonts w:ascii="Calibri" w:eastAsia="Times New Roman" w:hAnsi="Calibri" w:cs="Times New Roman"/>
              </w:rPr>
              <w:t xml:space="preserve">, incl. any extension options  </w:t>
            </w:r>
          </w:p>
        </w:tc>
        <w:tc>
          <w:tcPr>
            <w:tcW w:w="1276" w:type="dxa"/>
            <w:vAlign w:val="center"/>
          </w:tcPr>
          <w:p w:rsidR="006D43B3" w:rsidRPr="00E16067" w:rsidRDefault="006D43B3" w:rsidP="0013144B">
            <w:pPr>
              <w:overflowPunct w:val="0"/>
              <w:autoSpaceDE w:val="0"/>
              <w:autoSpaceDN w:val="0"/>
              <w:adjustRightInd w:val="0"/>
              <w:spacing w:after="100" w:afterAutospacing="1" w:line="240" w:lineRule="auto"/>
              <w:textAlignment w:val="baseline"/>
              <w:rPr>
                <w:rFonts w:ascii="Calibri" w:eastAsia="Times New Roman" w:hAnsi="Calibri" w:cs="Times New Roman"/>
              </w:rPr>
            </w:pPr>
            <w:r w:rsidRPr="00E16067">
              <w:rPr>
                <w:rFonts w:ascii="Calibri" w:eastAsia="Times New Roman" w:hAnsi="Calibri" w:cs="Times New Roman"/>
              </w:rPr>
              <w:t>£</w:t>
            </w:r>
          </w:p>
        </w:tc>
        <w:tc>
          <w:tcPr>
            <w:tcW w:w="1417" w:type="dxa"/>
            <w:gridSpan w:val="2"/>
            <w:shd w:val="clear" w:color="auto" w:fill="F2F2F2" w:themeFill="background1" w:themeFillShade="F2"/>
            <w:vAlign w:val="center"/>
          </w:tcPr>
          <w:p w:rsidR="006D43B3" w:rsidRPr="00E16067" w:rsidRDefault="006D43B3" w:rsidP="0013144B">
            <w:pPr>
              <w:overflowPunct w:val="0"/>
              <w:autoSpaceDE w:val="0"/>
              <w:autoSpaceDN w:val="0"/>
              <w:adjustRightInd w:val="0"/>
              <w:spacing w:after="100" w:afterAutospacing="1" w:line="240" w:lineRule="auto"/>
              <w:textAlignment w:val="baseline"/>
              <w:rPr>
                <w:rFonts w:ascii="Calibri" w:eastAsia="Times New Roman" w:hAnsi="Calibri" w:cs="Times New Roman"/>
              </w:rPr>
            </w:pPr>
            <w:r w:rsidRPr="00E16067">
              <w:rPr>
                <w:rFonts w:ascii="Calibri" w:eastAsia="Times New Roman" w:hAnsi="Calibri" w:cs="Times New Roman"/>
              </w:rPr>
              <w:t>Ex. VAT</w:t>
            </w:r>
          </w:p>
        </w:tc>
        <w:tc>
          <w:tcPr>
            <w:tcW w:w="1276" w:type="dxa"/>
            <w:vAlign w:val="center"/>
          </w:tcPr>
          <w:p w:rsidR="006D43B3" w:rsidRPr="00E16067" w:rsidRDefault="006D43B3" w:rsidP="0013144B">
            <w:pPr>
              <w:overflowPunct w:val="0"/>
              <w:autoSpaceDE w:val="0"/>
              <w:autoSpaceDN w:val="0"/>
              <w:adjustRightInd w:val="0"/>
              <w:spacing w:after="100" w:afterAutospacing="1" w:line="240" w:lineRule="auto"/>
              <w:textAlignment w:val="baseline"/>
              <w:rPr>
                <w:rFonts w:ascii="Calibri" w:eastAsia="Times New Roman" w:hAnsi="Calibri" w:cs="Times New Roman"/>
              </w:rPr>
            </w:pPr>
            <w:r w:rsidRPr="00E16067">
              <w:rPr>
                <w:rFonts w:ascii="Calibri" w:eastAsia="Times New Roman" w:hAnsi="Calibri" w:cs="Times New Roman"/>
              </w:rPr>
              <w:t>£</w:t>
            </w:r>
          </w:p>
        </w:tc>
        <w:tc>
          <w:tcPr>
            <w:tcW w:w="1723" w:type="dxa"/>
            <w:shd w:val="clear" w:color="auto" w:fill="F2F2F2" w:themeFill="background1" w:themeFillShade="F2"/>
            <w:vAlign w:val="center"/>
          </w:tcPr>
          <w:p w:rsidR="006D43B3" w:rsidRPr="00E16067" w:rsidRDefault="006D43B3" w:rsidP="0013144B">
            <w:pPr>
              <w:overflowPunct w:val="0"/>
              <w:autoSpaceDE w:val="0"/>
              <w:autoSpaceDN w:val="0"/>
              <w:adjustRightInd w:val="0"/>
              <w:spacing w:after="100" w:afterAutospacing="1" w:line="240" w:lineRule="auto"/>
              <w:textAlignment w:val="baseline"/>
              <w:rPr>
                <w:rFonts w:ascii="Calibri" w:eastAsia="Times New Roman" w:hAnsi="Calibri" w:cs="Times New Roman"/>
              </w:rPr>
            </w:pPr>
            <w:r w:rsidRPr="00E16067">
              <w:rPr>
                <w:rFonts w:ascii="Calibri" w:eastAsia="Times New Roman" w:hAnsi="Calibri" w:cs="Times New Roman"/>
              </w:rPr>
              <w:t>Incl. VAT</w:t>
            </w:r>
          </w:p>
        </w:tc>
      </w:tr>
    </w:tbl>
    <w:p w:rsidR="007E78C2" w:rsidRDefault="007E78C2" w:rsidP="0013144B">
      <w:pPr>
        <w:spacing w:after="0"/>
        <w:rPr>
          <w:sz w:val="16"/>
          <w:szCs w:val="16"/>
        </w:rPr>
      </w:pPr>
    </w:p>
    <w:tbl>
      <w:tblPr>
        <w:tblStyle w:val="TableGrid"/>
        <w:tblW w:w="11341" w:type="dxa"/>
        <w:tblInd w:w="-856"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61"/>
        <w:gridCol w:w="3318"/>
        <w:gridCol w:w="992"/>
        <w:gridCol w:w="2693"/>
        <w:gridCol w:w="1276"/>
        <w:gridCol w:w="1701"/>
      </w:tblGrid>
      <w:tr w:rsidR="00644508" w:rsidRPr="006D43B3" w:rsidTr="006908F2">
        <w:trPr>
          <w:trHeight w:val="284"/>
        </w:trPr>
        <w:tc>
          <w:tcPr>
            <w:tcW w:w="11341" w:type="dxa"/>
            <w:gridSpan w:val="6"/>
            <w:shd w:val="clear" w:color="auto" w:fill="F2F2F2" w:themeFill="background1" w:themeFillShade="F2"/>
          </w:tcPr>
          <w:p w:rsidR="00644508" w:rsidRPr="009100DA" w:rsidRDefault="00644508" w:rsidP="00E7750D">
            <w:r>
              <w:rPr>
                <w:b/>
              </w:rPr>
              <w:t>(</w:t>
            </w:r>
            <w:r w:rsidR="00F45364">
              <w:rPr>
                <w:b/>
              </w:rPr>
              <w:t>C</w:t>
            </w:r>
            <w:r>
              <w:rPr>
                <w:b/>
              </w:rPr>
              <w:t xml:space="preserve">) </w:t>
            </w:r>
            <w:r w:rsidRPr="009100DA">
              <w:rPr>
                <w:b/>
              </w:rPr>
              <w:t xml:space="preserve">The </w:t>
            </w:r>
            <w:r>
              <w:rPr>
                <w:b/>
              </w:rPr>
              <w:t>Supplier</w:t>
            </w:r>
            <w:r w:rsidRPr="009100DA">
              <w:rPr>
                <w:b/>
              </w:rPr>
              <w:t>:</w:t>
            </w:r>
            <w:r>
              <w:rPr>
                <w:b/>
              </w:rPr>
              <w:t xml:space="preserve"> </w:t>
            </w:r>
            <w:r w:rsidRPr="00644508">
              <w:rPr>
                <w:i/>
                <w:sz w:val="18"/>
                <w:szCs w:val="18"/>
              </w:rPr>
              <w:t>(If the intended supplier is already known</w:t>
            </w:r>
            <w:r>
              <w:rPr>
                <w:i/>
                <w:sz w:val="18"/>
                <w:szCs w:val="18"/>
              </w:rPr>
              <w:t xml:space="preserve">, and has been identified without following a competitive process as required by the University’s </w:t>
            </w:r>
            <w:hyperlink r:id="rId10" w:history="1">
              <w:r w:rsidR="00E7750D" w:rsidRPr="00E7750D">
                <w:rPr>
                  <w:i/>
                  <w:sz w:val="18"/>
                  <w:szCs w:val="18"/>
                </w:rPr>
                <w:t>Procurement regulations</w:t>
              </w:r>
            </w:hyperlink>
            <w:r w:rsidRPr="00E7750D">
              <w:rPr>
                <w:i/>
                <w:sz w:val="18"/>
                <w:szCs w:val="18"/>
              </w:rPr>
              <w:t xml:space="preserve">, </w:t>
            </w:r>
            <w:r>
              <w:rPr>
                <w:i/>
                <w:sz w:val="18"/>
                <w:szCs w:val="18"/>
              </w:rPr>
              <w:t xml:space="preserve">then an approved exception from the Regulations must </w:t>
            </w:r>
            <w:r w:rsidR="002412D6">
              <w:rPr>
                <w:i/>
                <w:sz w:val="18"/>
                <w:szCs w:val="18"/>
              </w:rPr>
              <w:t>first</w:t>
            </w:r>
            <w:r>
              <w:rPr>
                <w:i/>
                <w:sz w:val="18"/>
                <w:szCs w:val="18"/>
              </w:rPr>
              <w:t xml:space="preserve"> be gained</w:t>
            </w:r>
            <w:r w:rsidR="002412D6">
              <w:rPr>
                <w:i/>
                <w:sz w:val="18"/>
                <w:szCs w:val="18"/>
              </w:rPr>
              <w:t xml:space="preserve"> by </w:t>
            </w:r>
            <w:r w:rsidR="00E7750D">
              <w:rPr>
                <w:i/>
                <w:sz w:val="18"/>
                <w:szCs w:val="18"/>
              </w:rPr>
              <w:t>Head of Procurement</w:t>
            </w:r>
            <w:r w:rsidR="002412D6">
              <w:rPr>
                <w:i/>
                <w:sz w:val="18"/>
                <w:szCs w:val="18"/>
              </w:rPr>
              <w:t>)</w:t>
            </w:r>
            <w:r>
              <w:rPr>
                <w:i/>
                <w:sz w:val="18"/>
                <w:szCs w:val="18"/>
              </w:rPr>
              <w:t xml:space="preserve">  </w:t>
            </w:r>
            <w:r>
              <w:rPr>
                <w:b/>
              </w:rPr>
              <w:t xml:space="preserve"> </w:t>
            </w:r>
          </w:p>
        </w:tc>
      </w:tr>
      <w:tr w:rsidR="00F45364" w:rsidRPr="006D43B3" w:rsidTr="00F45364">
        <w:trPr>
          <w:trHeight w:val="284"/>
        </w:trPr>
        <w:tc>
          <w:tcPr>
            <w:tcW w:w="1361"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44508" w:rsidRPr="009100DA" w:rsidRDefault="00F45364" w:rsidP="006908F2">
            <w:r>
              <w:t>Organisation</w:t>
            </w:r>
          </w:p>
        </w:tc>
        <w:tc>
          <w:tcPr>
            <w:tcW w:w="3318" w:type="dxa"/>
          </w:tcPr>
          <w:p w:rsidR="00644508" w:rsidRPr="009100DA" w:rsidRDefault="00644508" w:rsidP="006908F2"/>
        </w:tc>
        <w:tc>
          <w:tcPr>
            <w:tcW w:w="9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44508" w:rsidRPr="009100DA" w:rsidRDefault="00F45364" w:rsidP="00F45364">
            <w:r>
              <w:t>Contact</w:t>
            </w:r>
          </w:p>
        </w:tc>
        <w:tc>
          <w:tcPr>
            <w:tcW w:w="2693" w:type="dxa"/>
          </w:tcPr>
          <w:p w:rsidR="00644508" w:rsidRPr="009100DA" w:rsidRDefault="00644508" w:rsidP="006908F2"/>
        </w:tc>
        <w:tc>
          <w:tcPr>
            <w:tcW w:w="127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44508" w:rsidRPr="009100DA" w:rsidRDefault="00F45364" w:rsidP="006908F2">
            <w:r>
              <w:t>Tel</w:t>
            </w:r>
          </w:p>
        </w:tc>
        <w:tc>
          <w:tcPr>
            <w:tcW w:w="1701" w:type="dxa"/>
          </w:tcPr>
          <w:p w:rsidR="00644508" w:rsidRPr="009100DA" w:rsidRDefault="00644508" w:rsidP="006908F2"/>
        </w:tc>
      </w:tr>
      <w:tr w:rsidR="00F45364" w:rsidRPr="006D43B3" w:rsidTr="00C27AA6">
        <w:trPr>
          <w:trHeight w:val="284"/>
        </w:trPr>
        <w:tc>
          <w:tcPr>
            <w:tcW w:w="1361" w:type="dxa"/>
            <w:tcBorders>
              <w:top w:val="single" w:sz="4" w:space="0" w:color="BFBFBF" w:themeColor="background1" w:themeShade="BF"/>
              <w:bottom w:val="single" w:sz="4" w:space="0" w:color="auto"/>
            </w:tcBorders>
            <w:shd w:val="clear" w:color="auto" w:fill="F2F2F2" w:themeFill="background1" w:themeFillShade="F2"/>
          </w:tcPr>
          <w:p w:rsidR="00F45364" w:rsidRDefault="00F45364" w:rsidP="006908F2">
            <w:r>
              <w:t>Address</w:t>
            </w:r>
          </w:p>
        </w:tc>
        <w:tc>
          <w:tcPr>
            <w:tcW w:w="7003" w:type="dxa"/>
            <w:gridSpan w:val="3"/>
          </w:tcPr>
          <w:p w:rsidR="00F45364" w:rsidRPr="009100DA" w:rsidRDefault="00F45364" w:rsidP="00F45364">
            <w:pPr>
              <w:jc w:val="both"/>
            </w:pPr>
          </w:p>
        </w:tc>
        <w:tc>
          <w:tcPr>
            <w:tcW w:w="1276" w:type="dxa"/>
            <w:tcBorders>
              <w:top w:val="single" w:sz="4" w:space="0" w:color="BFBFBF" w:themeColor="background1" w:themeShade="BF"/>
              <w:bottom w:val="single" w:sz="4" w:space="0" w:color="auto"/>
            </w:tcBorders>
            <w:shd w:val="clear" w:color="auto" w:fill="F2F2F2" w:themeFill="background1" w:themeFillShade="F2"/>
          </w:tcPr>
          <w:p w:rsidR="00F45364" w:rsidRDefault="00F45364" w:rsidP="006908F2">
            <w:r>
              <w:t>Email</w:t>
            </w:r>
          </w:p>
        </w:tc>
        <w:tc>
          <w:tcPr>
            <w:tcW w:w="1701" w:type="dxa"/>
          </w:tcPr>
          <w:p w:rsidR="00F45364" w:rsidRPr="009100DA" w:rsidRDefault="00F45364" w:rsidP="006908F2"/>
        </w:tc>
      </w:tr>
    </w:tbl>
    <w:p w:rsidR="00644508" w:rsidRDefault="00644508" w:rsidP="0013144B">
      <w:pPr>
        <w:spacing w:after="0"/>
        <w:rPr>
          <w:sz w:val="16"/>
          <w:szCs w:val="16"/>
        </w:rPr>
      </w:pPr>
    </w:p>
    <w:tbl>
      <w:tblPr>
        <w:tblStyle w:val="TableGrid"/>
        <w:tblpPr w:leftFromText="180" w:rightFromText="180" w:vertAnchor="text" w:horzAnchor="margin" w:tblpXSpec="center" w:tblpY="27"/>
        <w:tblW w:w="11341"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381"/>
        <w:gridCol w:w="454"/>
        <w:gridCol w:w="2239"/>
        <w:gridCol w:w="426"/>
        <w:gridCol w:w="2409"/>
        <w:gridCol w:w="460"/>
      </w:tblGrid>
      <w:tr w:rsidR="007E78C2" w:rsidRPr="00163B2E" w:rsidTr="001D7F8A">
        <w:trPr>
          <w:trHeight w:val="284"/>
        </w:trPr>
        <w:tc>
          <w:tcPr>
            <w:tcW w:w="11341" w:type="dxa"/>
            <w:gridSpan w:val="7"/>
            <w:shd w:val="clear" w:color="auto" w:fill="F2F2F2" w:themeFill="background1" w:themeFillShade="F2"/>
          </w:tcPr>
          <w:p w:rsidR="007E78C2" w:rsidRDefault="007E78C2" w:rsidP="00F45364">
            <w:pPr>
              <w:rPr>
                <w:b/>
              </w:rPr>
            </w:pPr>
            <w:r>
              <w:rPr>
                <w:b/>
              </w:rPr>
              <w:t>(</w:t>
            </w:r>
            <w:r w:rsidR="00F45364">
              <w:rPr>
                <w:b/>
              </w:rPr>
              <w:t>D</w:t>
            </w:r>
            <w:r w:rsidRPr="004E34D5">
              <w:rPr>
                <w:b/>
                <w:shd w:val="clear" w:color="auto" w:fill="F2F2F2" w:themeFill="background1" w:themeFillShade="F2"/>
              </w:rPr>
              <w:t xml:space="preserve">) </w:t>
            </w:r>
            <w:r w:rsidR="009D3870">
              <w:rPr>
                <w:b/>
                <w:shd w:val="clear" w:color="auto" w:fill="F2F2F2" w:themeFill="background1" w:themeFillShade="F2"/>
              </w:rPr>
              <w:t>P</w:t>
            </w:r>
            <w:r w:rsidR="005E766C">
              <w:rPr>
                <w:b/>
                <w:shd w:val="clear" w:color="auto" w:fill="F2F2F2" w:themeFill="background1" w:themeFillShade="F2"/>
              </w:rPr>
              <w:t>ropos</w:t>
            </w:r>
            <w:r w:rsidR="009D3870">
              <w:rPr>
                <w:b/>
                <w:shd w:val="clear" w:color="auto" w:fill="F2F2F2" w:themeFill="background1" w:themeFillShade="F2"/>
              </w:rPr>
              <w:t xml:space="preserve">ed change to the </w:t>
            </w:r>
            <w:r w:rsidR="009D3870" w:rsidRPr="009D3870">
              <w:rPr>
                <w:b/>
              </w:rPr>
              <w:t xml:space="preserve">default </w:t>
            </w:r>
            <w:r w:rsidR="00E96973">
              <w:rPr>
                <w:b/>
              </w:rPr>
              <w:t xml:space="preserve">supplier insurance level(s) and/or </w:t>
            </w:r>
            <w:r w:rsidR="009D3870" w:rsidRPr="009D3870">
              <w:rPr>
                <w:b/>
              </w:rPr>
              <w:t>indemnity</w:t>
            </w:r>
            <w:r w:rsidRPr="009D3870">
              <w:rPr>
                <w:b/>
                <w:shd w:val="clear" w:color="auto" w:fill="F2F2F2" w:themeFill="background1" w:themeFillShade="F2"/>
              </w:rPr>
              <w:t>:</w:t>
            </w:r>
          </w:p>
        </w:tc>
      </w:tr>
      <w:tr w:rsidR="001D7F8A" w:rsidTr="009F0C83">
        <w:trPr>
          <w:trHeight w:val="284"/>
        </w:trPr>
        <w:tc>
          <w:tcPr>
            <w:tcW w:w="2972" w:type="dxa"/>
            <w:shd w:val="clear" w:color="auto" w:fill="F2F2F2" w:themeFill="background1" w:themeFillShade="F2"/>
          </w:tcPr>
          <w:p w:rsidR="009D3870" w:rsidRDefault="00F8653C" w:rsidP="00A21154">
            <w:r>
              <w:t>Insurance level</w:t>
            </w:r>
            <w:r w:rsidR="009D3870">
              <w:t xml:space="preserve"> to be changed</w:t>
            </w:r>
          </w:p>
        </w:tc>
        <w:tc>
          <w:tcPr>
            <w:tcW w:w="2381" w:type="dxa"/>
            <w:shd w:val="clear" w:color="auto" w:fill="F2F2F2" w:themeFill="background1" w:themeFillShade="F2"/>
          </w:tcPr>
          <w:p w:rsidR="009D3870" w:rsidRDefault="001D7F8A" w:rsidP="00A21154">
            <w:r w:rsidRPr="0038645A">
              <w:t>Employers Liability</w:t>
            </w:r>
          </w:p>
        </w:tc>
        <w:tc>
          <w:tcPr>
            <w:tcW w:w="454" w:type="dxa"/>
          </w:tcPr>
          <w:p w:rsidR="009D3870" w:rsidRDefault="009D3870" w:rsidP="00A21154"/>
        </w:tc>
        <w:tc>
          <w:tcPr>
            <w:tcW w:w="2239" w:type="dxa"/>
            <w:shd w:val="clear" w:color="auto" w:fill="F2F2F2" w:themeFill="background1" w:themeFillShade="F2"/>
          </w:tcPr>
          <w:p w:rsidR="009D3870" w:rsidRDefault="001D7F8A" w:rsidP="00A21154">
            <w:r w:rsidRPr="0038645A">
              <w:t>Public Liability</w:t>
            </w:r>
          </w:p>
        </w:tc>
        <w:tc>
          <w:tcPr>
            <w:tcW w:w="426" w:type="dxa"/>
          </w:tcPr>
          <w:p w:rsidR="009D3870" w:rsidRDefault="009D3870" w:rsidP="00A21154"/>
        </w:tc>
        <w:tc>
          <w:tcPr>
            <w:tcW w:w="2409" w:type="dxa"/>
            <w:shd w:val="clear" w:color="auto" w:fill="F2F2F2" w:themeFill="background1" w:themeFillShade="F2"/>
          </w:tcPr>
          <w:p w:rsidR="009D3870" w:rsidRDefault="001D7F8A" w:rsidP="00A21154">
            <w:r w:rsidRPr="0038645A">
              <w:t>Professional Indemnity</w:t>
            </w:r>
          </w:p>
        </w:tc>
        <w:tc>
          <w:tcPr>
            <w:tcW w:w="460" w:type="dxa"/>
          </w:tcPr>
          <w:p w:rsidR="009D3870" w:rsidRDefault="009D3870" w:rsidP="00A21154"/>
        </w:tc>
      </w:tr>
      <w:tr w:rsidR="009D3870" w:rsidTr="009F0C83">
        <w:trPr>
          <w:trHeight w:val="284"/>
        </w:trPr>
        <w:tc>
          <w:tcPr>
            <w:tcW w:w="2972" w:type="dxa"/>
            <w:shd w:val="clear" w:color="auto" w:fill="F2F2F2" w:themeFill="background1" w:themeFillShade="F2"/>
          </w:tcPr>
          <w:p w:rsidR="009D3870" w:rsidRDefault="001D7F8A" w:rsidP="00F8653C">
            <w:r>
              <w:t xml:space="preserve">Proposed </w:t>
            </w:r>
            <w:r w:rsidR="00F8653C">
              <w:t>insurance level</w:t>
            </w:r>
          </w:p>
        </w:tc>
        <w:tc>
          <w:tcPr>
            <w:tcW w:w="2835" w:type="dxa"/>
            <w:gridSpan w:val="2"/>
          </w:tcPr>
          <w:p w:rsidR="009D3870" w:rsidRDefault="003D7911" w:rsidP="00A21154">
            <w:r>
              <w:t>£</w:t>
            </w:r>
          </w:p>
        </w:tc>
        <w:tc>
          <w:tcPr>
            <w:tcW w:w="2665" w:type="dxa"/>
            <w:gridSpan w:val="2"/>
          </w:tcPr>
          <w:p w:rsidR="009D3870" w:rsidRDefault="003D7911" w:rsidP="00A21154">
            <w:r>
              <w:t>£</w:t>
            </w:r>
          </w:p>
        </w:tc>
        <w:tc>
          <w:tcPr>
            <w:tcW w:w="2869" w:type="dxa"/>
            <w:gridSpan w:val="2"/>
          </w:tcPr>
          <w:p w:rsidR="009D3870" w:rsidRDefault="003D7911" w:rsidP="00A21154">
            <w:r>
              <w:t>£</w:t>
            </w:r>
          </w:p>
        </w:tc>
      </w:tr>
      <w:tr w:rsidR="009F0C83" w:rsidTr="009F0C83">
        <w:trPr>
          <w:trHeight w:val="284"/>
        </w:trPr>
        <w:tc>
          <w:tcPr>
            <w:tcW w:w="5807" w:type="dxa"/>
            <w:gridSpan w:val="3"/>
            <w:shd w:val="clear" w:color="auto" w:fill="F2F2F2" w:themeFill="background1" w:themeFillShade="F2"/>
          </w:tcPr>
          <w:p w:rsidR="009F0C83" w:rsidRDefault="009F0C83" w:rsidP="00860199">
            <w:r>
              <w:t>Proposed indemnity change</w:t>
            </w:r>
            <w:r w:rsidR="00860199">
              <w:t xml:space="preserve"> (from full indemnification of the University in the </w:t>
            </w:r>
            <w:r w:rsidR="00860199" w:rsidRPr="00860199">
              <w:t>University’s Standard Terms &amp; Conditions</w:t>
            </w:r>
            <w:r w:rsidR="00860199">
              <w:t>)</w:t>
            </w:r>
          </w:p>
        </w:tc>
        <w:tc>
          <w:tcPr>
            <w:tcW w:w="5534" w:type="dxa"/>
            <w:gridSpan w:val="4"/>
            <w:shd w:val="clear" w:color="auto" w:fill="auto"/>
          </w:tcPr>
          <w:p w:rsidR="009F0C83" w:rsidRDefault="009F0C83" w:rsidP="001A68B1"/>
        </w:tc>
      </w:tr>
      <w:tr w:rsidR="001D7F8A" w:rsidTr="001D7F8A">
        <w:trPr>
          <w:trHeight w:val="284"/>
        </w:trPr>
        <w:tc>
          <w:tcPr>
            <w:tcW w:w="11341" w:type="dxa"/>
            <w:gridSpan w:val="7"/>
            <w:shd w:val="clear" w:color="auto" w:fill="F2F2F2" w:themeFill="background1" w:themeFillShade="F2"/>
          </w:tcPr>
          <w:p w:rsidR="004E2A0F" w:rsidRDefault="001D7F8A" w:rsidP="004E2A0F">
            <w:r>
              <w:t>Reason for chang</w:t>
            </w:r>
            <w:r w:rsidR="003442AA">
              <w:t>e</w:t>
            </w:r>
            <w:r w:rsidR="00EB262F">
              <w:t>,</w:t>
            </w:r>
            <w:r>
              <w:t xml:space="preserve"> </w:t>
            </w:r>
            <w:r w:rsidR="0028154F">
              <w:t xml:space="preserve">based on completion of the </w:t>
            </w:r>
            <w:r w:rsidR="00EB262F">
              <w:t>risk assessment</w:t>
            </w:r>
            <w:r w:rsidR="0028154F">
              <w:t xml:space="preserve"> tool in the appendix overleaf</w:t>
            </w:r>
            <w:r w:rsidR="00EB262F">
              <w:t xml:space="preserve"> </w:t>
            </w:r>
          </w:p>
          <w:p w:rsidR="001D7F8A" w:rsidRDefault="00EB262F" w:rsidP="00E7750D">
            <w:r w:rsidRPr="0064226D">
              <w:rPr>
                <w:i/>
                <w:sz w:val="18"/>
                <w:szCs w:val="18"/>
              </w:rPr>
              <w:t>(</w:t>
            </w:r>
            <w:r w:rsidR="00E7750D">
              <w:rPr>
                <w:i/>
                <w:sz w:val="18"/>
                <w:szCs w:val="18"/>
              </w:rPr>
              <w:t xml:space="preserve">Please note: </w:t>
            </w:r>
            <w:r w:rsidR="004E2A0F">
              <w:rPr>
                <w:i/>
                <w:sz w:val="18"/>
                <w:szCs w:val="18"/>
              </w:rPr>
              <w:t xml:space="preserve">Where the </w:t>
            </w:r>
            <w:r w:rsidR="009C0C9E" w:rsidRPr="0064226D">
              <w:rPr>
                <w:i/>
                <w:sz w:val="18"/>
                <w:szCs w:val="18"/>
              </w:rPr>
              <w:t xml:space="preserve">proposed change is </w:t>
            </w:r>
            <w:r w:rsidR="004E2A0F">
              <w:rPr>
                <w:i/>
                <w:sz w:val="18"/>
                <w:szCs w:val="18"/>
              </w:rPr>
              <w:t>the result of a supplier challenging t</w:t>
            </w:r>
            <w:r w:rsidR="009C0C9E" w:rsidRPr="0064226D">
              <w:rPr>
                <w:i/>
                <w:sz w:val="18"/>
                <w:szCs w:val="18"/>
              </w:rPr>
              <w:t xml:space="preserve">he </w:t>
            </w:r>
            <w:r w:rsidR="0064226D" w:rsidRPr="0064226D">
              <w:rPr>
                <w:i/>
                <w:sz w:val="18"/>
                <w:szCs w:val="18"/>
              </w:rPr>
              <w:t>University</w:t>
            </w:r>
            <w:r w:rsidR="004E2A0F">
              <w:rPr>
                <w:i/>
                <w:sz w:val="18"/>
                <w:szCs w:val="18"/>
              </w:rPr>
              <w:t>’s Standard Terms &amp; Conditions (e.g. by restricting their liability – the extent to which they indemnify the University), or insisting upon their own being used, it is important to consider both parties’ relative bargaining power and therefore the extent to which we can challenge their proposals</w:t>
            </w:r>
            <w:r w:rsidR="0028154F" w:rsidRPr="0064226D">
              <w:rPr>
                <w:i/>
                <w:sz w:val="18"/>
                <w:szCs w:val="18"/>
              </w:rPr>
              <w:t>)</w:t>
            </w:r>
          </w:p>
        </w:tc>
      </w:tr>
      <w:tr w:rsidR="009D3870" w:rsidTr="001D7F8A">
        <w:trPr>
          <w:trHeight w:val="284"/>
        </w:trPr>
        <w:tc>
          <w:tcPr>
            <w:tcW w:w="11341" w:type="dxa"/>
            <w:gridSpan w:val="7"/>
          </w:tcPr>
          <w:p w:rsidR="001D7F8A" w:rsidRDefault="001D7F8A" w:rsidP="00A21154"/>
          <w:p w:rsidR="00860199" w:rsidRDefault="00860199" w:rsidP="00A21154"/>
          <w:p w:rsidR="00307E15" w:rsidRDefault="00307E15" w:rsidP="00A21154"/>
          <w:p w:rsidR="00307E15" w:rsidRDefault="00307E15" w:rsidP="00A21154"/>
        </w:tc>
      </w:tr>
    </w:tbl>
    <w:p w:rsidR="009516FB" w:rsidRPr="00307E15" w:rsidRDefault="009516FB" w:rsidP="007C34DF">
      <w:pPr>
        <w:tabs>
          <w:tab w:val="left" w:pos="1755"/>
        </w:tabs>
        <w:spacing w:after="0"/>
        <w:rPr>
          <w:sz w:val="16"/>
          <w:szCs w:val="16"/>
        </w:rPr>
      </w:pPr>
    </w:p>
    <w:tbl>
      <w:tblPr>
        <w:tblW w:w="11306" w:type="dxa"/>
        <w:jc w:val="center"/>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1E0" w:firstRow="1" w:lastRow="1" w:firstColumn="1" w:lastColumn="1" w:noHBand="0" w:noVBand="0"/>
      </w:tblPr>
      <w:tblGrid>
        <w:gridCol w:w="3539"/>
        <w:gridCol w:w="2977"/>
        <w:gridCol w:w="3123"/>
        <w:gridCol w:w="1667"/>
      </w:tblGrid>
      <w:tr w:rsidR="00307E15" w:rsidRPr="00267BC1" w:rsidTr="00307E15">
        <w:trPr>
          <w:trHeight w:val="284"/>
          <w:jc w:val="center"/>
        </w:trPr>
        <w:tc>
          <w:tcPr>
            <w:tcW w:w="11306" w:type="dxa"/>
            <w:gridSpan w:val="4"/>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tcPr>
          <w:p w:rsidR="00307E15" w:rsidRPr="00267BC1" w:rsidRDefault="00307E15" w:rsidP="00307E15">
            <w:pPr>
              <w:overflowPunct w:val="0"/>
              <w:autoSpaceDE w:val="0"/>
              <w:autoSpaceDN w:val="0"/>
              <w:adjustRightInd w:val="0"/>
              <w:spacing w:after="0" w:line="240" w:lineRule="auto"/>
              <w:textAlignment w:val="baseline"/>
              <w:rPr>
                <w:rFonts w:ascii="Calibri" w:eastAsia="Times New Roman" w:hAnsi="Calibri" w:cs="Arial"/>
                <w:i/>
              </w:rPr>
            </w:pPr>
            <w:r>
              <w:rPr>
                <w:rFonts w:ascii="Calibri" w:eastAsia="Times New Roman" w:hAnsi="Calibri" w:cs="Arial"/>
                <w:b/>
              </w:rPr>
              <w:t>(E)</w:t>
            </w:r>
            <w:r w:rsidRPr="00267BC1">
              <w:rPr>
                <w:rFonts w:ascii="Calibri" w:eastAsia="Times New Roman" w:hAnsi="Calibri" w:cs="Arial"/>
                <w:b/>
              </w:rPr>
              <w:t xml:space="preserve"> A</w:t>
            </w:r>
            <w:r>
              <w:rPr>
                <w:rFonts w:ascii="Calibri" w:eastAsia="Times New Roman" w:hAnsi="Calibri" w:cs="Arial"/>
                <w:b/>
              </w:rPr>
              <w:t xml:space="preserve">pproval: </w:t>
            </w:r>
          </w:p>
        </w:tc>
      </w:tr>
      <w:tr w:rsidR="00307E15" w:rsidRPr="00267BC1" w:rsidTr="00307E15">
        <w:trPr>
          <w:trHeight w:val="284"/>
          <w:jc w:val="center"/>
        </w:trPr>
        <w:tc>
          <w:tcPr>
            <w:tcW w:w="3539" w:type="dxa"/>
            <w:tcBorders>
              <w:top w:val="single" w:sz="4" w:space="0" w:color="BFBFBF" w:themeColor="background1" w:themeShade="BF"/>
              <w:left w:val="single" w:sz="4" w:space="0" w:color="auto"/>
              <w:bottom w:val="single" w:sz="4" w:space="0" w:color="auto"/>
            </w:tcBorders>
            <w:shd w:val="clear" w:color="auto" w:fill="F2F2F2" w:themeFill="background1" w:themeFillShade="F2"/>
            <w:vAlign w:val="center"/>
          </w:tcPr>
          <w:p w:rsidR="00307E15" w:rsidRPr="00267BC1" w:rsidRDefault="00307E15" w:rsidP="00307E15">
            <w:pPr>
              <w:overflowPunct w:val="0"/>
              <w:autoSpaceDE w:val="0"/>
              <w:autoSpaceDN w:val="0"/>
              <w:adjustRightInd w:val="0"/>
              <w:spacing w:after="0" w:line="240" w:lineRule="auto"/>
              <w:textAlignment w:val="baseline"/>
              <w:rPr>
                <w:rFonts w:ascii="Calibri" w:eastAsia="Times New Roman" w:hAnsi="Calibri" w:cs="Times New Roman"/>
                <w:b/>
                <w:sz w:val="24"/>
                <w:szCs w:val="20"/>
              </w:rPr>
            </w:pPr>
          </w:p>
        </w:tc>
        <w:tc>
          <w:tcPr>
            <w:tcW w:w="2977" w:type="dxa"/>
            <w:tcBorders>
              <w:top w:val="single" w:sz="4" w:space="0" w:color="BFBFBF" w:themeColor="background1" w:themeShade="BF"/>
              <w:bottom w:val="single" w:sz="4" w:space="0" w:color="auto"/>
            </w:tcBorders>
            <w:shd w:val="clear" w:color="auto" w:fill="F2F2F2" w:themeFill="background1" w:themeFillShade="F2"/>
            <w:vAlign w:val="center"/>
          </w:tcPr>
          <w:p w:rsidR="00307E15" w:rsidRPr="00267BC1" w:rsidRDefault="00307E15" w:rsidP="00307E15">
            <w:pPr>
              <w:overflowPunct w:val="0"/>
              <w:autoSpaceDE w:val="0"/>
              <w:autoSpaceDN w:val="0"/>
              <w:adjustRightInd w:val="0"/>
              <w:spacing w:after="0" w:line="240" w:lineRule="auto"/>
              <w:jc w:val="center"/>
              <w:textAlignment w:val="baseline"/>
              <w:rPr>
                <w:rFonts w:ascii="Calibri" w:eastAsia="Times New Roman" w:hAnsi="Calibri" w:cs="Arial"/>
                <w:b/>
              </w:rPr>
            </w:pPr>
            <w:r w:rsidRPr="00267BC1">
              <w:rPr>
                <w:rFonts w:ascii="Calibri" w:eastAsia="Times New Roman" w:hAnsi="Calibri" w:cs="Arial"/>
                <w:b/>
              </w:rPr>
              <w:t>NAME (PRINT)</w:t>
            </w:r>
          </w:p>
        </w:tc>
        <w:tc>
          <w:tcPr>
            <w:tcW w:w="3123" w:type="dxa"/>
            <w:tcBorders>
              <w:top w:val="single" w:sz="4" w:space="0" w:color="BFBFBF" w:themeColor="background1" w:themeShade="BF"/>
              <w:bottom w:val="single" w:sz="4" w:space="0" w:color="auto"/>
            </w:tcBorders>
            <w:shd w:val="clear" w:color="auto" w:fill="F2F2F2" w:themeFill="background1" w:themeFillShade="F2"/>
            <w:vAlign w:val="center"/>
          </w:tcPr>
          <w:p w:rsidR="00307E15" w:rsidRPr="00267BC1" w:rsidRDefault="00307E15" w:rsidP="00307E15">
            <w:pPr>
              <w:overflowPunct w:val="0"/>
              <w:autoSpaceDE w:val="0"/>
              <w:autoSpaceDN w:val="0"/>
              <w:adjustRightInd w:val="0"/>
              <w:spacing w:after="0" w:line="240" w:lineRule="auto"/>
              <w:jc w:val="center"/>
              <w:textAlignment w:val="baseline"/>
              <w:rPr>
                <w:rFonts w:ascii="Calibri" w:eastAsia="Times New Roman" w:hAnsi="Calibri" w:cs="Arial"/>
                <w:b/>
              </w:rPr>
            </w:pPr>
            <w:r w:rsidRPr="00267BC1">
              <w:rPr>
                <w:rFonts w:ascii="Calibri" w:eastAsia="Times New Roman" w:hAnsi="Calibri" w:cs="Arial"/>
                <w:b/>
              </w:rPr>
              <w:t>SIGNATURE</w:t>
            </w:r>
          </w:p>
        </w:tc>
        <w:tc>
          <w:tcPr>
            <w:tcW w:w="1667" w:type="dxa"/>
            <w:tcBorders>
              <w:top w:val="single" w:sz="4" w:space="0" w:color="BFBFBF" w:themeColor="background1" w:themeShade="BF"/>
              <w:bottom w:val="single" w:sz="4" w:space="0" w:color="auto"/>
              <w:right w:val="single" w:sz="4" w:space="0" w:color="auto"/>
            </w:tcBorders>
            <w:shd w:val="clear" w:color="auto" w:fill="F2F2F2" w:themeFill="background1" w:themeFillShade="F2"/>
            <w:vAlign w:val="center"/>
          </w:tcPr>
          <w:p w:rsidR="00307E15" w:rsidRPr="00267BC1" w:rsidRDefault="00307E15" w:rsidP="00307E15">
            <w:pPr>
              <w:overflowPunct w:val="0"/>
              <w:autoSpaceDE w:val="0"/>
              <w:autoSpaceDN w:val="0"/>
              <w:adjustRightInd w:val="0"/>
              <w:spacing w:after="0" w:line="240" w:lineRule="auto"/>
              <w:jc w:val="center"/>
              <w:textAlignment w:val="baseline"/>
              <w:rPr>
                <w:rFonts w:ascii="Calibri" w:eastAsia="Times New Roman" w:hAnsi="Calibri" w:cs="Arial"/>
                <w:b/>
              </w:rPr>
            </w:pPr>
            <w:r w:rsidRPr="00267BC1">
              <w:rPr>
                <w:rFonts w:ascii="Calibri" w:eastAsia="Times New Roman" w:hAnsi="Calibri" w:cs="Arial"/>
                <w:b/>
              </w:rPr>
              <w:t>DATE</w:t>
            </w:r>
          </w:p>
        </w:tc>
      </w:tr>
      <w:tr w:rsidR="00307E15" w:rsidRPr="00267BC1" w:rsidTr="00307E15">
        <w:trPr>
          <w:trHeight w:val="284"/>
          <w:jc w:val="center"/>
        </w:trPr>
        <w:tc>
          <w:tcPr>
            <w:tcW w:w="3539" w:type="dxa"/>
            <w:tcBorders>
              <w:top w:val="single" w:sz="4" w:space="0" w:color="BFBFBF" w:themeColor="background1" w:themeShade="BF"/>
              <w:left w:val="single" w:sz="4" w:space="0" w:color="auto"/>
              <w:bottom w:val="single" w:sz="4" w:space="0" w:color="BFBFBF" w:themeColor="background1" w:themeShade="BF"/>
            </w:tcBorders>
            <w:shd w:val="clear" w:color="auto" w:fill="F2F2F2" w:themeFill="background1" w:themeFillShade="F2"/>
            <w:vAlign w:val="center"/>
          </w:tcPr>
          <w:p w:rsidR="00307E15" w:rsidRPr="0028154F" w:rsidRDefault="00307E15" w:rsidP="00E7750D">
            <w:pPr>
              <w:overflowPunct w:val="0"/>
              <w:autoSpaceDE w:val="0"/>
              <w:autoSpaceDN w:val="0"/>
              <w:adjustRightInd w:val="0"/>
              <w:spacing w:after="0" w:line="240" w:lineRule="auto"/>
              <w:textAlignment w:val="baseline"/>
              <w:rPr>
                <w:i/>
                <w:color w:val="0000FF" w:themeColor="hyperlink"/>
                <w:sz w:val="16"/>
                <w:szCs w:val="16"/>
                <w:u w:val="single"/>
              </w:rPr>
            </w:pPr>
            <w:r w:rsidRPr="004E34D5">
              <w:rPr>
                <w:rFonts w:ascii="Calibri" w:eastAsia="Times New Roman" w:hAnsi="Calibri" w:cs="Times New Roman"/>
                <w:b/>
              </w:rPr>
              <w:t>Procurer</w:t>
            </w:r>
            <w:r>
              <w:rPr>
                <w:rFonts w:ascii="Calibri" w:eastAsia="Times New Roman" w:hAnsi="Calibri" w:cs="Times New Roman"/>
                <w:b/>
              </w:rPr>
              <w:t xml:space="preserve"> </w:t>
            </w:r>
            <w:r w:rsidRPr="0064226D">
              <w:rPr>
                <w:rFonts w:ascii="Calibri" w:eastAsia="Times New Roman" w:hAnsi="Calibri" w:cs="Times New Roman"/>
                <w:i/>
                <w:sz w:val="18"/>
                <w:szCs w:val="18"/>
              </w:rPr>
              <w:t xml:space="preserve">– This change proposal is based on a risk assessment informed by my reading of the </w:t>
            </w:r>
            <w:r w:rsidR="00E7750D">
              <w:rPr>
                <w:rFonts w:ascii="Calibri" w:eastAsia="Times New Roman" w:hAnsi="Calibri" w:cs="Times New Roman"/>
                <w:i/>
                <w:sz w:val="18"/>
                <w:szCs w:val="18"/>
              </w:rPr>
              <w:t xml:space="preserve">Insurance Indemnity and Procurement guidance </w:t>
            </w:r>
            <w:r w:rsidRPr="0064226D">
              <w:rPr>
                <w:rFonts w:ascii="Calibri" w:eastAsia="Times New Roman" w:hAnsi="Calibri" w:cs="Arial"/>
                <w:i/>
                <w:sz w:val="18"/>
                <w:szCs w:val="18"/>
              </w:rPr>
              <w:t>and completion of the risk assessment tool in the appendix overleaf</w:t>
            </w:r>
          </w:p>
        </w:tc>
        <w:tc>
          <w:tcPr>
            <w:tcW w:w="2977" w:type="dxa"/>
            <w:tcBorders>
              <w:top w:val="single" w:sz="4" w:space="0" w:color="BFBFBF" w:themeColor="background1" w:themeShade="BF"/>
              <w:bottom w:val="single" w:sz="4" w:space="0" w:color="BFBFBF" w:themeColor="background1" w:themeShade="BF"/>
            </w:tcBorders>
            <w:shd w:val="clear" w:color="auto" w:fill="auto"/>
            <w:vAlign w:val="center"/>
          </w:tcPr>
          <w:p w:rsidR="00307E15" w:rsidRPr="00267BC1" w:rsidRDefault="00307E15" w:rsidP="00307E15">
            <w:pPr>
              <w:overflowPunct w:val="0"/>
              <w:autoSpaceDE w:val="0"/>
              <w:autoSpaceDN w:val="0"/>
              <w:adjustRightInd w:val="0"/>
              <w:spacing w:after="0" w:line="240" w:lineRule="auto"/>
              <w:textAlignment w:val="baseline"/>
              <w:rPr>
                <w:rFonts w:ascii="Calibri" w:eastAsia="Times New Roman" w:hAnsi="Calibri" w:cs="Arial"/>
              </w:rPr>
            </w:pPr>
          </w:p>
        </w:tc>
        <w:tc>
          <w:tcPr>
            <w:tcW w:w="3123" w:type="dxa"/>
            <w:tcBorders>
              <w:top w:val="single" w:sz="4" w:space="0" w:color="BFBFBF" w:themeColor="background1" w:themeShade="BF"/>
              <w:bottom w:val="single" w:sz="4" w:space="0" w:color="BFBFBF" w:themeColor="background1" w:themeShade="BF"/>
            </w:tcBorders>
            <w:shd w:val="clear" w:color="auto" w:fill="auto"/>
            <w:vAlign w:val="center"/>
          </w:tcPr>
          <w:p w:rsidR="00307E15" w:rsidRPr="00267BC1" w:rsidRDefault="00307E15" w:rsidP="00307E15">
            <w:pPr>
              <w:overflowPunct w:val="0"/>
              <w:autoSpaceDE w:val="0"/>
              <w:autoSpaceDN w:val="0"/>
              <w:adjustRightInd w:val="0"/>
              <w:spacing w:after="0" w:line="240" w:lineRule="auto"/>
              <w:textAlignment w:val="baseline"/>
              <w:rPr>
                <w:rFonts w:ascii="Calibri" w:eastAsia="Times New Roman" w:hAnsi="Calibri" w:cs="Arial"/>
              </w:rPr>
            </w:pPr>
          </w:p>
        </w:tc>
        <w:tc>
          <w:tcPr>
            <w:tcW w:w="1667" w:type="dxa"/>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307E15" w:rsidRPr="00267BC1" w:rsidRDefault="00307E15" w:rsidP="00307E15">
            <w:pPr>
              <w:overflowPunct w:val="0"/>
              <w:autoSpaceDE w:val="0"/>
              <w:autoSpaceDN w:val="0"/>
              <w:adjustRightInd w:val="0"/>
              <w:spacing w:after="0" w:line="240" w:lineRule="auto"/>
              <w:textAlignment w:val="baseline"/>
              <w:rPr>
                <w:rFonts w:ascii="Calibri" w:eastAsia="Times New Roman" w:hAnsi="Calibri" w:cs="Arial"/>
              </w:rPr>
            </w:pPr>
          </w:p>
        </w:tc>
      </w:tr>
      <w:tr w:rsidR="00307E15" w:rsidRPr="00267BC1" w:rsidTr="00307E15">
        <w:trPr>
          <w:trHeight w:val="284"/>
          <w:jc w:val="center"/>
        </w:trPr>
        <w:tc>
          <w:tcPr>
            <w:tcW w:w="3539" w:type="dxa"/>
            <w:tcBorders>
              <w:top w:val="single" w:sz="4" w:space="0" w:color="BFBFBF" w:themeColor="background1" w:themeShade="BF"/>
              <w:left w:val="single" w:sz="4" w:space="0" w:color="auto"/>
              <w:bottom w:val="single" w:sz="4" w:space="0" w:color="auto"/>
            </w:tcBorders>
            <w:shd w:val="clear" w:color="auto" w:fill="F2F2F2" w:themeFill="background1" w:themeFillShade="F2"/>
            <w:vAlign w:val="center"/>
          </w:tcPr>
          <w:p w:rsidR="00307E15" w:rsidRDefault="009C2CD9" w:rsidP="00307E15">
            <w:pPr>
              <w:overflowPunct w:val="0"/>
              <w:autoSpaceDE w:val="0"/>
              <w:autoSpaceDN w:val="0"/>
              <w:adjustRightInd w:val="0"/>
              <w:spacing w:after="0" w:line="240" w:lineRule="auto"/>
              <w:textAlignment w:val="baseline"/>
              <w:rPr>
                <w:rFonts w:ascii="Calibri" w:eastAsia="Times New Roman" w:hAnsi="Calibri" w:cs="Times New Roman"/>
                <w:b/>
              </w:rPr>
            </w:pPr>
            <w:r>
              <w:rPr>
                <w:rFonts w:ascii="Calibri" w:eastAsia="Times New Roman" w:hAnsi="Calibri" w:cs="Times New Roman"/>
                <w:b/>
              </w:rPr>
              <w:t>Head of Procurement Dave Lifford</w:t>
            </w:r>
            <w:bookmarkStart w:id="0" w:name="_GoBack"/>
            <w:bookmarkEnd w:id="0"/>
            <w:r>
              <w:rPr>
                <w:rFonts w:ascii="Calibri" w:eastAsia="Times New Roman" w:hAnsi="Calibri" w:cs="Times New Roman"/>
                <w:b/>
              </w:rPr>
              <w:t xml:space="preserve"> </w:t>
            </w:r>
          </w:p>
          <w:p w:rsidR="009C2CD9" w:rsidRDefault="009C2CD9" w:rsidP="00307E15">
            <w:pPr>
              <w:overflowPunct w:val="0"/>
              <w:autoSpaceDE w:val="0"/>
              <w:autoSpaceDN w:val="0"/>
              <w:adjustRightInd w:val="0"/>
              <w:spacing w:after="0" w:line="240" w:lineRule="auto"/>
              <w:textAlignment w:val="baseline"/>
              <w:rPr>
                <w:rFonts w:ascii="Calibri" w:eastAsia="Times New Roman" w:hAnsi="Calibri" w:cs="Times New Roman"/>
                <w:b/>
              </w:rPr>
            </w:pPr>
            <w:r>
              <w:rPr>
                <w:rFonts w:ascii="Calibri" w:eastAsia="Times New Roman" w:hAnsi="Calibri" w:cs="Times New Roman"/>
                <w:b/>
              </w:rPr>
              <w:t xml:space="preserve">Email – </w:t>
            </w:r>
            <w:hyperlink r:id="rId11" w:history="1">
              <w:r w:rsidRPr="00A77D8A">
                <w:rPr>
                  <w:rStyle w:val="Hyperlink"/>
                  <w:rFonts w:ascii="Calibri" w:eastAsia="Times New Roman" w:hAnsi="Calibri" w:cs="Times New Roman"/>
                  <w:b/>
                </w:rPr>
                <w:t>dlifford@bournemouth.ac.uk</w:t>
              </w:r>
            </w:hyperlink>
          </w:p>
          <w:p w:rsidR="009C2CD9" w:rsidRPr="00267BC1" w:rsidRDefault="009C2CD9" w:rsidP="00307E15">
            <w:pPr>
              <w:overflowPunct w:val="0"/>
              <w:autoSpaceDE w:val="0"/>
              <w:autoSpaceDN w:val="0"/>
              <w:adjustRightInd w:val="0"/>
              <w:spacing w:after="0" w:line="240" w:lineRule="auto"/>
              <w:textAlignment w:val="baseline"/>
              <w:rPr>
                <w:rFonts w:ascii="Calibri" w:eastAsia="Times New Roman" w:hAnsi="Calibri" w:cs="Times New Roman"/>
                <w:b/>
              </w:rPr>
            </w:pPr>
            <w:r>
              <w:rPr>
                <w:rFonts w:ascii="Calibri" w:eastAsia="Times New Roman" w:hAnsi="Calibri" w:cs="Times New Roman"/>
                <w:b/>
              </w:rPr>
              <w:t>Tel: 01202 962772</w:t>
            </w:r>
          </w:p>
        </w:tc>
        <w:tc>
          <w:tcPr>
            <w:tcW w:w="2977" w:type="dxa"/>
            <w:tcBorders>
              <w:top w:val="single" w:sz="4" w:space="0" w:color="BFBFBF" w:themeColor="background1" w:themeShade="BF"/>
              <w:bottom w:val="single" w:sz="4" w:space="0" w:color="auto"/>
            </w:tcBorders>
            <w:vAlign w:val="center"/>
          </w:tcPr>
          <w:p w:rsidR="00307E15" w:rsidRDefault="00307E15" w:rsidP="00307E15">
            <w:pPr>
              <w:overflowPunct w:val="0"/>
              <w:autoSpaceDE w:val="0"/>
              <w:autoSpaceDN w:val="0"/>
              <w:adjustRightInd w:val="0"/>
              <w:spacing w:after="0" w:line="240" w:lineRule="auto"/>
              <w:textAlignment w:val="baseline"/>
              <w:rPr>
                <w:rFonts w:ascii="Calibri" w:eastAsia="Times New Roman" w:hAnsi="Calibri" w:cs="Arial"/>
              </w:rPr>
            </w:pPr>
          </w:p>
          <w:p w:rsidR="00307E15" w:rsidRPr="00267BC1" w:rsidRDefault="00307E15" w:rsidP="00307E15">
            <w:pPr>
              <w:overflowPunct w:val="0"/>
              <w:autoSpaceDE w:val="0"/>
              <w:autoSpaceDN w:val="0"/>
              <w:adjustRightInd w:val="0"/>
              <w:spacing w:after="0" w:line="240" w:lineRule="auto"/>
              <w:textAlignment w:val="baseline"/>
              <w:rPr>
                <w:rFonts w:ascii="Calibri" w:eastAsia="Times New Roman" w:hAnsi="Calibri" w:cs="Arial"/>
              </w:rPr>
            </w:pPr>
          </w:p>
        </w:tc>
        <w:tc>
          <w:tcPr>
            <w:tcW w:w="3123" w:type="dxa"/>
            <w:tcBorders>
              <w:top w:val="single" w:sz="4" w:space="0" w:color="BFBFBF" w:themeColor="background1" w:themeShade="BF"/>
              <w:bottom w:val="single" w:sz="4" w:space="0" w:color="auto"/>
            </w:tcBorders>
            <w:vAlign w:val="center"/>
          </w:tcPr>
          <w:p w:rsidR="00307E15" w:rsidRPr="00267BC1" w:rsidRDefault="00307E15" w:rsidP="00307E15">
            <w:pPr>
              <w:overflowPunct w:val="0"/>
              <w:autoSpaceDE w:val="0"/>
              <w:autoSpaceDN w:val="0"/>
              <w:adjustRightInd w:val="0"/>
              <w:spacing w:after="0" w:line="240" w:lineRule="auto"/>
              <w:textAlignment w:val="baseline"/>
              <w:rPr>
                <w:rFonts w:ascii="Calibri" w:eastAsia="Times New Roman" w:hAnsi="Calibri" w:cs="Arial"/>
              </w:rPr>
            </w:pPr>
          </w:p>
        </w:tc>
        <w:tc>
          <w:tcPr>
            <w:tcW w:w="1667" w:type="dxa"/>
            <w:tcBorders>
              <w:top w:val="single" w:sz="4" w:space="0" w:color="BFBFBF" w:themeColor="background1" w:themeShade="BF"/>
              <w:bottom w:val="single" w:sz="4" w:space="0" w:color="auto"/>
              <w:right w:val="single" w:sz="4" w:space="0" w:color="auto"/>
            </w:tcBorders>
            <w:vAlign w:val="center"/>
          </w:tcPr>
          <w:p w:rsidR="00307E15" w:rsidRPr="00267BC1" w:rsidRDefault="00307E15" w:rsidP="00307E15">
            <w:pPr>
              <w:overflowPunct w:val="0"/>
              <w:autoSpaceDE w:val="0"/>
              <w:autoSpaceDN w:val="0"/>
              <w:adjustRightInd w:val="0"/>
              <w:spacing w:after="0" w:line="240" w:lineRule="auto"/>
              <w:textAlignment w:val="baseline"/>
              <w:rPr>
                <w:rFonts w:ascii="Calibri" w:eastAsia="Times New Roman" w:hAnsi="Calibri" w:cs="Arial"/>
              </w:rPr>
            </w:pPr>
          </w:p>
        </w:tc>
      </w:tr>
    </w:tbl>
    <w:tbl>
      <w:tblPr>
        <w:tblStyle w:val="TableGrid"/>
        <w:tblW w:w="11336" w:type="dxa"/>
        <w:tblInd w:w="-851"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50"/>
        <w:gridCol w:w="3686"/>
      </w:tblGrid>
      <w:tr w:rsidR="00E825B6" w:rsidTr="006908F2">
        <w:tc>
          <w:tcPr>
            <w:tcW w:w="11336" w:type="dxa"/>
            <w:gridSpan w:val="2"/>
            <w:shd w:val="clear" w:color="auto" w:fill="F2F2F2" w:themeFill="background1" w:themeFillShade="F2"/>
          </w:tcPr>
          <w:p w:rsidR="00E825B6" w:rsidRDefault="00E825B6" w:rsidP="006908F2">
            <w:pPr>
              <w:ind w:right="-852"/>
              <w:jc w:val="both"/>
              <w:rPr>
                <w:bCs/>
              </w:rPr>
            </w:pPr>
            <w:r w:rsidRPr="00634D6A">
              <w:rPr>
                <w:b/>
                <w:bCs/>
              </w:rPr>
              <w:lastRenderedPageBreak/>
              <w:t>APPENDIX – Risk Assessment Tool</w:t>
            </w:r>
          </w:p>
        </w:tc>
      </w:tr>
      <w:tr w:rsidR="00E825B6" w:rsidTr="006908F2">
        <w:trPr>
          <w:trHeight w:val="517"/>
        </w:trPr>
        <w:tc>
          <w:tcPr>
            <w:tcW w:w="11336" w:type="dxa"/>
            <w:gridSpan w:val="2"/>
            <w:shd w:val="clear" w:color="auto" w:fill="F2F2F2" w:themeFill="background1" w:themeFillShade="F2"/>
          </w:tcPr>
          <w:p w:rsidR="00E825B6" w:rsidRDefault="00E825B6" w:rsidP="00E825B6">
            <w:pPr>
              <w:ind w:right="34"/>
              <w:rPr>
                <w:bCs/>
              </w:rPr>
            </w:pPr>
            <w:r>
              <w:rPr>
                <w:bCs/>
              </w:rPr>
              <w:t xml:space="preserve">Running through the questions/factors below will not establish a definitive risk level, but will support you in considering the risks associated with the contract/purchase order and therefore the proposed change to the insurance and/or indemnity levels.  </w:t>
            </w:r>
          </w:p>
        </w:tc>
      </w:tr>
      <w:tr w:rsidR="005345B7" w:rsidTr="007A6E9C">
        <w:tc>
          <w:tcPr>
            <w:tcW w:w="11336" w:type="dxa"/>
            <w:gridSpan w:val="2"/>
            <w:shd w:val="clear" w:color="auto" w:fill="F2F2F2" w:themeFill="background1" w:themeFillShade="F2"/>
          </w:tcPr>
          <w:p w:rsidR="005345B7" w:rsidRPr="005345B7" w:rsidRDefault="005345B7" w:rsidP="005345B7">
            <w:pPr>
              <w:ind w:right="34"/>
              <w:jc w:val="center"/>
              <w:rPr>
                <w:bCs/>
                <w:i/>
              </w:rPr>
            </w:pPr>
            <w:r>
              <w:rPr>
                <w:bCs/>
                <w:i/>
              </w:rPr>
              <w:t>Public/Product Liability</w:t>
            </w:r>
          </w:p>
        </w:tc>
      </w:tr>
      <w:tr w:rsidR="00E825B6" w:rsidTr="006908F2">
        <w:tc>
          <w:tcPr>
            <w:tcW w:w="7650" w:type="dxa"/>
            <w:shd w:val="clear" w:color="auto" w:fill="F2F2F2" w:themeFill="background1" w:themeFillShade="F2"/>
          </w:tcPr>
          <w:p w:rsidR="00E825B6" w:rsidRDefault="00E825B6" w:rsidP="006908F2">
            <w:pPr>
              <w:ind w:right="-852"/>
              <w:rPr>
                <w:bCs/>
              </w:rPr>
            </w:pPr>
            <w:r w:rsidRPr="00634D6A">
              <w:rPr>
                <w:bCs/>
              </w:rPr>
              <w:t xml:space="preserve">Which buildings </w:t>
            </w:r>
            <w:r>
              <w:rPr>
                <w:bCs/>
              </w:rPr>
              <w:t>would be</w:t>
            </w:r>
            <w:r w:rsidRPr="00634D6A">
              <w:rPr>
                <w:bCs/>
              </w:rPr>
              <w:t xml:space="preserve"> </w:t>
            </w:r>
            <w:r>
              <w:rPr>
                <w:bCs/>
              </w:rPr>
              <w:t xml:space="preserve">(potentially) </w:t>
            </w:r>
            <w:r w:rsidRPr="00634D6A">
              <w:rPr>
                <w:bCs/>
              </w:rPr>
              <w:t>impacted</w:t>
            </w:r>
            <w:r>
              <w:rPr>
                <w:bCs/>
              </w:rPr>
              <w:t xml:space="preserve"> by the purchase</w:t>
            </w:r>
            <w:r w:rsidRPr="00634D6A">
              <w:rPr>
                <w:bCs/>
              </w:rPr>
              <w:t>?</w:t>
            </w:r>
          </w:p>
        </w:tc>
        <w:tc>
          <w:tcPr>
            <w:tcW w:w="3686" w:type="dxa"/>
          </w:tcPr>
          <w:p w:rsidR="00E825B6" w:rsidRDefault="00E825B6" w:rsidP="006908F2">
            <w:pPr>
              <w:ind w:right="34"/>
              <w:jc w:val="both"/>
              <w:rPr>
                <w:bCs/>
              </w:rPr>
            </w:pPr>
          </w:p>
          <w:p w:rsidR="00E825B6" w:rsidRDefault="00E825B6" w:rsidP="006908F2">
            <w:pPr>
              <w:ind w:right="34"/>
              <w:jc w:val="both"/>
              <w:rPr>
                <w:bCs/>
              </w:rPr>
            </w:pPr>
          </w:p>
        </w:tc>
      </w:tr>
      <w:tr w:rsidR="00E825B6" w:rsidTr="006908F2">
        <w:tc>
          <w:tcPr>
            <w:tcW w:w="7650" w:type="dxa"/>
            <w:shd w:val="clear" w:color="auto" w:fill="F2F2F2" w:themeFill="background1" w:themeFillShade="F2"/>
          </w:tcPr>
          <w:p w:rsidR="00E825B6" w:rsidRDefault="00E825B6" w:rsidP="00E825B6">
            <w:pPr>
              <w:ind w:right="34"/>
              <w:rPr>
                <w:bCs/>
              </w:rPr>
            </w:pPr>
            <w:r>
              <w:rPr>
                <w:bCs/>
              </w:rPr>
              <w:t>Does the activity involve work at heights?</w:t>
            </w:r>
          </w:p>
          <w:p w:rsidR="00E825B6" w:rsidRPr="00101B8B" w:rsidRDefault="00E825B6" w:rsidP="00E825B6">
            <w:pPr>
              <w:ind w:right="34"/>
              <w:rPr>
                <w:bCs/>
              </w:rPr>
            </w:pPr>
          </w:p>
        </w:tc>
        <w:tc>
          <w:tcPr>
            <w:tcW w:w="3686" w:type="dxa"/>
          </w:tcPr>
          <w:p w:rsidR="00E825B6" w:rsidRDefault="00E825B6" w:rsidP="00E825B6">
            <w:pPr>
              <w:ind w:right="34"/>
              <w:jc w:val="center"/>
              <w:rPr>
                <w:bCs/>
              </w:rPr>
            </w:pPr>
            <w:r>
              <w:rPr>
                <w:bCs/>
              </w:rPr>
              <w:t>YES / NO</w:t>
            </w:r>
          </w:p>
          <w:p w:rsidR="00E825B6" w:rsidRDefault="00E825B6" w:rsidP="00E825B6">
            <w:pPr>
              <w:ind w:right="34"/>
              <w:jc w:val="center"/>
              <w:rPr>
                <w:bCs/>
              </w:rPr>
            </w:pPr>
          </w:p>
        </w:tc>
      </w:tr>
      <w:tr w:rsidR="00E825B6" w:rsidTr="006908F2">
        <w:tc>
          <w:tcPr>
            <w:tcW w:w="7650" w:type="dxa"/>
            <w:shd w:val="clear" w:color="auto" w:fill="F2F2F2" w:themeFill="background1" w:themeFillShade="F2"/>
          </w:tcPr>
          <w:p w:rsidR="00E825B6" w:rsidRDefault="00E825B6" w:rsidP="00E825B6">
            <w:pPr>
              <w:ind w:right="34"/>
              <w:rPr>
                <w:bCs/>
              </w:rPr>
            </w:pPr>
            <w:r>
              <w:rPr>
                <w:bCs/>
              </w:rPr>
              <w:t>Does the activity involve work with heat?</w:t>
            </w:r>
          </w:p>
          <w:p w:rsidR="00E825B6" w:rsidRPr="00101B8B" w:rsidRDefault="00E825B6" w:rsidP="00E825B6">
            <w:pPr>
              <w:ind w:right="34"/>
              <w:rPr>
                <w:bCs/>
              </w:rPr>
            </w:pPr>
          </w:p>
        </w:tc>
        <w:tc>
          <w:tcPr>
            <w:tcW w:w="3686" w:type="dxa"/>
          </w:tcPr>
          <w:p w:rsidR="00E825B6" w:rsidRDefault="00E825B6" w:rsidP="00E825B6">
            <w:pPr>
              <w:ind w:right="34"/>
              <w:jc w:val="center"/>
              <w:rPr>
                <w:bCs/>
              </w:rPr>
            </w:pPr>
            <w:r>
              <w:rPr>
                <w:bCs/>
              </w:rPr>
              <w:t>YES / NO</w:t>
            </w:r>
          </w:p>
          <w:p w:rsidR="00E825B6" w:rsidRDefault="00E825B6" w:rsidP="00E825B6">
            <w:pPr>
              <w:ind w:right="34"/>
              <w:jc w:val="center"/>
              <w:rPr>
                <w:bCs/>
              </w:rPr>
            </w:pPr>
          </w:p>
        </w:tc>
      </w:tr>
      <w:tr w:rsidR="00E825B6" w:rsidTr="006908F2">
        <w:tc>
          <w:tcPr>
            <w:tcW w:w="7650" w:type="dxa"/>
            <w:shd w:val="clear" w:color="auto" w:fill="F2F2F2" w:themeFill="background1" w:themeFillShade="F2"/>
          </w:tcPr>
          <w:p w:rsidR="00E825B6" w:rsidRDefault="00E825B6" w:rsidP="00E825B6">
            <w:pPr>
              <w:ind w:right="34"/>
              <w:rPr>
                <w:bCs/>
              </w:rPr>
            </w:pPr>
            <w:r>
              <w:rPr>
                <w:bCs/>
              </w:rPr>
              <w:t>Does the activity involve utilising the University’s electricity supply?</w:t>
            </w:r>
          </w:p>
          <w:p w:rsidR="00E825B6" w:rsidRPr="00101B8B" w:rsidRDefault="00E825B6" w:rsidP="00E825B6">
            <w:pPr>
              <w:ind w:right="34"/>
              <w:rPr>
                <w:bCs/>
              </w:rPr>
            </w:pPr>
          </w:p>
        </w:tc>
        <w:tc>
          <w:tcPr>
            <w:tcW w:w="3686" w:type="dxa"/>
          </w:tcPr>
          <w:p w:rsidR="00E825B6" w:rsidRDefault="00E825B6" w:rsidP="00E825B6">
            <w:pPr>
              <w:ind w:right="34"/>
              <w:jc w:val="center"/>
              <w:rPr>
                <w:bCs/>
              </w:rPr>
            </w:pPr>
            <w:r>
              <w:rPr>
                <w:bCs/>
              </w:rPr>
              <w:t>YES / NO</w:t>
            </w:r>
          </w:p>
          <w:p w:rsidR="00E825B6" w:rsidRDefault="00E825B6" w:rsidP="00E825B6">
            <w:pPr>
              <w:ind w:right="34"/>
              <w:jc w:val="both"/>
              <w:rPr>
                <w:bCs/>
              </w:rPr>
            </w:pPr>
          </w:p>
        </w:tc>
      </w:tr>
      <w:tr w:rsidR="00E825B6" w:rsidTr="006908F2">
        <w:tc>
          <w:tcPr>
            <w:tcW w:w="7650" w:type="dxa"/>
            <w:shd w:val="clear" w:color="auto" w:fill="F2F2F2" w:themeFill="background1" w:themeFillShade="F2"/>
          </w:tcPr>
          <w:p w:rsidR="00E825B6" w:rsidRDefault="00E825B6" w:rsidP="00E825B6">
            <w:pPr>
              <w:ind w:right="34"/>
              <w:rPr>
                <w:bCs/>
              </w:rPr>
            </w:pPr>
            <w:r>
              <w:rPr>
                <w:bCs/>
              </w:rPr>
              <w:t>What other areas of the business (if any) will be impacted?</w:t>
            </w:r>
          </w:p>
          <w:p w:rsidR="00E825B6" w:rsidRPr="00101B8B" w:rsidRDefault="00E825B6" w:rsidP="00E825B6">
            <w:pPr>
              <w:ind w:right="34"/>
              <w:rPr>
                <w:bCs/>
              </w:rPr>
            </w:pPr>
          </w:p>
        </w:tc>
        <w:tc>
          <w:tcPr>
            <w:tcW w:w="3686" w:type="dxa"/>
          </w:tcPr>
          <w:p w:rsidR="00E825B6" w:rsidRDefault="00E825B6" w:rsidP="00E825B6">
            <w:pPr>
              <w:ind w:right="34"/>
              <w:jc w:val="both"/>
              <w:rPr>
                <w:bCs/>
              </w:rPr>
            </w:pPr>
          </w:p>
        </w:tc>
      </w:tr>
      <w:tr w:rsidR="00555D20" w:rsidTr="00555D20">
        <w:trPr>
          <w:trHeight w:val="557"/>
        </w:trPr>
        <w:tc>
          <w:tcPr>
            <w:tcW w:w="7650" w:type="dxa"/>
            <w:shd w:val="clear" w:color="auto" w:fill="F2F2F2" w:themeFill="background1" w:themeFillShade="F2"/>
          </w:tcPr>
          <w:p w:rsidR="00555D20" w:rsidRPr="00101B8B" w:rsidRDefault="00555D20" w:rsidP="00D14123">
            <w:pPr>
              <w:ind w:right="34"/>
              <w:rPr>
                <w:bCs/>
              </w:rPr>
            </w:pPr>
            <w:r>
              <w:rPr>
                <w:bCs/>
              </w:rPr>
              <w:t xml:space="preserve">To what extent does the activity have the potential to cause injury to staff/students/members of the public? </w:t>
            </w:r>
            <w:r w:rsidRPr="00D14123">
              <w:rPr>
                <w:bCs/>
                <w:i/>
              </w:rPr>
              <w:t>(On a scale of 1-10, whe</w:t>
            </w:r>
            <w:r w:rsidR="00D14123">
              <w:rPr>
                <w:bCs/>
                <w:i/>
              </w:rPr>
              <w:t>re</w:t>
            </w:r>
            <w:r w:rsidRPr="00D14123">
              <w:rPr>
                <w:bCs/>
                <w:i/>
              </w:rPr>
              <w:t xml:space="preserve"> 10 is high)</w:t>
            </w:r>
          </w:p>
        </w:tc>
        <w:tc>
          <w:tcPr>
            <w:tcW w:w="3686" w:type="dxa"/>
          </w:tcPr>
          <w:p w:rsidR="00555D20" w:rsidRDefault="00555D20" w:rsidP="00E825B6">
            <w:pPr>
              <w:ind w:right="34"/>
              <w:jc w:val="both"/>
              <w:rPr>
                <w:bCs/>
              </w:rPr>
            </w:pPr>
          </w:p>
        </w:tc>
      </w:tr>
      <w:tr w:rsidR="00E825B6" w:rsidTr="006908F2">
        <w:tc>
          <w:tcPr>
            <w:tcW w:w="7650" w:type="dxa"/>
            <w:shd w:val="clear" w:color="auto" w:fill="F2F2F2" w:themeFill="background1" w:themeFillShade="F2"/>
          </w:tcPr>
          <w:p w:rsidR="00E825B6" w:rsidRDefault="005345B7" w:rsidP="00E825B6">
            <w:pPr>
              <w:ind w:right="34"/>
              <w:rPr>
                <w:bCs/>
              </w:rPr>
            </w:pPr>
            <w:r>
              <w:rPr>
                <w:bCs/>
              </w:rPr>
              <w:t xml:space="preserve">Would the supplier be providing an ‘off the shelf’ or bespoke service/product? </w:t>
            </w:r>
          </w:p>
        </w:tc>
        <w:tc>
          <w:tcPr>
            <w:tcW w:w="3686" w:type="dxa"/>
          </w:tcPr>
          <w:p w:rsidR="00E825B6" w:rsidRDefault="00E825B6" w:rsidP="00E825B6">
            <w:pPr>
              <w:ind w:right="34"/>
              <w:jc w:val="both"/>
              <w:rPr>
                <w:bCs/>
              </w:rPr>
            </w:pPr>
          </w:p>
          <w:p w:rsidR="00E825B6" w:rsidRDefault="00E825B6" w:rsidP="00E825B6">
            <w:pPr>
              <w:ind w:right="34"/>
              <w:jc w:val="both"/>
              <w:rPr>
                <w:bCs/>
              </w:rPr>
            </w:pPr>
          </w:p>
        </w:tc>
      </w:tr>
      <w:tr w:rsidR="00E825B6" w:rsidTr="006908F2">
        <w:tc>
          <w:tcPr>
            <w:tcW w:w="7650" w:type="dxa"/>
            <w:shd w:val="clear" w:color="auto" w:fill="F2F2F2" w:themeFill="background1" w:themeFillShade="F2"/>
          </w:tcPr>
          <w:p w:rsidR="00E825B6" w:rsidRDefault="00E825B6" w:rsidP="00E825B6">
            <w:pPr>
              <w:ind w:right="34"/>
              <w:rPr>
                <w:bCs/>
              </w:rPr>
            </w:pPr>
            <w:r>
              <w:rPr>
                <w:bCs/>
              </w:rPr>
              <w:t>Would</w:t>
            </w:r>
            <w:r w:rsidRPr="00101B8B">
              <w:rPr>
                <w:bCs/>
              </w:rPr>
              <w:t xml:space="preserve"> the </w:t>
            </w:r>
            <w:r>
              <w:rPr>
                <w:bCs/>
              </w:rPr>
              <w:t>supplier</w:t>
            </w:r>
            <w:r w:rsidRPr="00101B8B">
              <w:rPr>
                <w:bCs/>
              </w:rPr>
              <w:t xml:space="preserve"> have access to</w:t>
            </w:r>
            <w:r>
              <w:rPr>
                <w:bCs/>
              </w:rPr>
              <w:t>,</w:t>
            </w:r>
            <w:r w:rsidRPr="00101B8B">
              <w:rPr>
                <w:bCs/>
              </w:rPr>
              <w:t xml:space="preserve"> or store</w:t>
            </w:r>
            <w:r>
              <w:rPr>
                <w:bCs/>
              </w:rPr>
              <w:t>,</w:t>
            </w:r>
            <w:r w:rsidRPr="00101B8B">
              <w:rPr>
                <w:bCs/>
              </w:rPr>
              <w:t xml:space="preserve"> any personal data of University staff </w:t>
            </w:r>
            <w:r>
              <w:rPr>
                <w:bCs/>
              </w:rPr>
              <w:t>and/or</w:t>
            </w:r>
            <w:r w:rsidRPr="00101B8B">
              <w:rPr>
                <w:bCs/>
              </w:rPr>
              <w:t xml:space="preserve"> students?</w:t>
            </w:r>
          </w:p>
        </w:tc>
        <w:tc>
          <w:tcPr>
            <w:tcW w:w="3686" w:type="dxa"/>
          </w:tcPr>
          <w:p w:rsidR="00E825B6" w:rsidRDefault="00E825B6" w:rsidP="00E825B6">
            <w:pPr>
              <w:ind w:right="34"/>
              <w:jc w:val="center"/>
              <w:rPr>
                <w:bCs/>
              </w:rPr>
            </w:pPr>
            <w:r>
              <w:rPr>
                <w:bCs/>
              </w:rPr>
              <w:t>YES / NO</w:t>
            </w:r>
          </w:p>
          <w:p w:rsidR="00E825B6" w:rsidRDefault="00E825B6" w:rsidP="00E825B6">
            <w:pPr>
              <w:ind w:right="34"/>
              <w:jc w:val="center"/>
              <w:rPr>
                <w:bCs/>
              </w:rPr>
            </w:pPr>
          </w:p>
        </w:tc>
      </w:tr>
      <w:tr w:rsidR="00606EBA" w:rsidTr="00A56FD3">
        <w:tc>
          <w:tcPr>
            <w:tcW w:w="11336" w:type="dxa"/>
            <w:gridSpan w:val="2"/>
            <w:shd w:val="clear" w:color="auto" w:fill="F2F2F2" w:themeFill="background1" w:themeFillShade="F2"/>
          </w:tcPr>
          <w:p w:rsidR="00606EBA" w:rsidRPr="00606EBA" w:rsidRDefault="00606EBA" w:rsidP="00E825B6">
            <w:pPr>
              <w:ind w:right="34"/>
              <w:jc w:val="center"/>
              <w:rPr>
                <w:bCs/>
                <w:i/>
              </w:rPr>
            </w:pPr>
            <w:r>
              <w:rPr>
                <w:bCs/>
                <w:i/>
              </w:rPr>
              <w:t>Professional Indemnity</w:t>
            </w:r>
          </w:p>
        </w:tc>
      </w:tr>
      <w:tr w:rsidR="00D14123" w:rsidTr="006908F2">
        <w:tc>
          <w:tcPr>
            <w:tcW w:w="7650" w:type="dxa"/>
            <w:shd w:val="clear" w:color="auto" w:fill="F2F2F2" w:themeFill="background1" w:themeFillShade="F2"/>
          </w:tcPr>
          <w:p w:rsidR="00D14123" w:rsidRDefault="00D14123" w:rsidP="00E825B6">
            <w:pPr>
              <w:ind w:right="33"/>
              <w:rPr>
                <w:bCs/>
              </w:rPr>
            </w:pPr>
            <w:r>
              <w:rPr>
                <w:bCs/>
              </w:rPr>
              <w:t>Would the supplier be providing advice or guidance to the University?</w:t>
            </w:r>
          </w:p>
          <w:p w:rsidR="00D14123" w:rsidRPr="00D14123" w:rsidRDefault="00D14123" w:rsidP="00E825B6">
            <w:pPr>
              <w:ind w:right="33"/>
              <w:rPr>
                <w:bCs/>
                <w:i/>
              </w:rPr>
            </w:pPr>
            <w:r>
              <w:rPr>
                <w:bCs/>
                <w:i/>
              </w:rPr>
              <w:t>If NO, Professional Indemnity insurance may not be required</w:t>
            </w:r>
          </w:p>
        </w:tc>
        <w:tc>
          <w:tcPr>
            <w:tcW w:w="3686" w:type="dxa"/>
          </w:tcPr>
          <w:p w:rsidR="00D14123" w:rsidRDefault="00D14123" w:rsidP="00D14123">
            <w:pPr>
              <w:ind w:right="34"/>
              <w:jc w:val="center"/>
              <w:rPr>
                <w:bCs/>
              </w:rPr>
            </w:pPr>
            <w:r>
              <w:rPr>
                <w:bCs/>
              </w:rPr>
              <w:t>YES / NO</w:t>
            </w:r>
          </w:p>
          <w:p w:rsidR="00D14123" w:rsidRPr="0011021A" w:rsidRDefault="00D14123" w:rsidP="00E825B6">
            <w:pPr>
              <w:ind w:right="34"/>
              <w:jc w:val="center"/>
              <w:rPr>
                <w:bCs/>
              </w:rPr>
            </w:pPr>
          </w:p>
        </w:tc>
      </w:tr>
      <w:tr w:rsidR="00E825B6" w:rsidTr="006908F2">
        <w:tc>
          <w:tcPr>
            <w:tcW w:w="7650" w:type="dxa"/>
            <w:shd w:val="clear" w:color="auto" w:fill="F2F2F2" w:themeFill="background1" w:themeFillShade="F2"/>
          </w:tcPr>
          <w:p w:rsidR="00E825B6" w:rsidRDefault="00D14123" w:rsidP="00D14123">
            <w:r>
              <w:t>To what extent does the service have a</w:t>
            </w:r>
            <w:r w:rsidR="00E825B6">
              <w:t xml:space="preserve"> </w:t>
            </w:r>
            <w:r w:rsidR="00E825B6" w:rsidRPr="00E362E7">
              <w:t xml:space="preserve">bearing </w:t>
            </w:r>
            <w:r w:rsidR="00E825B6">
              <w:t xml:space="preserve">on </w:t>
            </w:r>
            <w:r w:rsidR="00E825B6" w:rsidRPr="00E362E7">
              <w:t xml:space="preserve">the </w:t>
            </w:r>
            <w:r w:rsidR="00E825B6">
              <w:t xml:space="preserve">University’s </w:t>
            </w:r>
            <w:r w:rsidR="00E825B6" w:rsidRPr="00E362E7">
              <w:t>decision</w:t>
            </w:r>
            <w:r w:rsidR="00E825B6">
              <w:t xml:space="preserve"> making, strategic investment and regulatory compliance?</w:t>
            </w:r>
            <w:r>
              <w:t xml:space="preserve"> </w:t>
            </w:r>
            <w:r w:rsidRPr="00D14123">
              <w:rPr>
                <w:bCs/>
                <w:i/>
              </w:rPr>
              <w:t>(On a scale of 1-10, whe</w:t>
            </w:r>
            <w:r>
              <w:rPr>
                <w:bCs/>
                <w:i/>
              </w:rPr>
              <w:t>re</w:t>
            </w:r>
            <w:r w:rsidRPr="00D14123">
              <w:rPr>
                <w:bCs/>
                <w:i/>
              </w:rPr>
              <w:t xml:space="preserve"> 10 is high)</w:t>
            </w:r>
          </w:p>
        </w:tc>
        <w:tc>
          <w:tcPr>
            <w:tcW w:w="3686" w:type="dxa"/>
          </w:tcPr>
          <w:p w:rsidR="00E825B6" w:rsidRDefault="00E825B6" w:rsidP="00E825B6">
            <w:pPr>
              <w:ind w:right="34"/>
              <w:jc w:val="center"/>
              <w:rPr>
                <w:bCs/>
              </w:rPr>
            </w:pPr>
          </w:p>
        </w:tc>
      </w:tr>
      <w:tr w:rsidR="00462DAC" w:rsidTr="006908F2">
        <w:tc>
          <w:tcPr>
            <w:tcW w:w="7650" w:type="dxa"/>
            <w:shd w:val="clear" w:color="auto" w:fill="F2F2F2" w:themeFill="background1" w:themeFillShade="F2"/>
          </w:tcPr>
          <w:p w:rsidR="00462DAC" w:rsidRDefault="00462DAC" w:rsidP="00462DAC">
            <w:pPr>
              <w:jc w:val="both"/>
              <w:rPr>
                <w:bCs/>
              </w:rPr>
            </w:pPr>
            <w:r>
              <w:t xml:space="preserve">To what extent does the service have a </w:t>
            </w:r>
            <w:r w:rsidRPr="00E362E7">
              <w:t xml:space="preserve">bearing </w:t>
            </w:r>
            <w:r>
              <w:t xml:space="preserve">on </w:t>
            </w:r>
            <w:r w:rsidRPr="00E362E7">
              <w:t xml:space="preserve">the </w:t>
            </w:r>
            <w:r>
              <w:t xml:space="preserve">University’s ability to deliver teaching/research? </w:t>
            </w:r>
            <w:r w:rsidRPr="00D14123">
              <w:rPr>
                <w:bCs/>
                <w:i/>
              </w:rPr>
              <w:t>(On a scale of 1-10, whe</w:t>
            </w:r>
            <w:r>
              <w:rPr>
                <w:bCs/>
                <w:i/>
              </w:rPr>
              <w:t>re</w:t>
            </w:r>
            <w:r w:rsidRPr="00D14123">
              <w:rPr>
                <w:bCs/>
                <w:i/>
              </w:rPr>
              <w:t xml:space="preserve"> 10 is high)</w:t>
            </w:r>
          </w:p>
        </w:tc>
        <w:tc>
          <w:tcPr>
            <w:tcW w:w="3686" w:type="dxa"/>
          </w:tcPr>
          <w:p w:rsidR="00462DAC" w:rsidRDefault="00462DAC" w:rsidP="00E825B6">
            <w:pPr>
              <w:ind w:right="34"/>
              <w:jc w:val="both"/>
              <w:rPr>
                <w:bCs/>
              </w:rPr>
            </w:pPr>
          </w:p>
        </w:tc>
      </w:tr>
      <w:tr w:rsidR="00462DAC" w:rsidTr="00841D6E">
        <w:tc>
          <w:tcPr>
            <w:tcW w:w="11336" w:type="dxa"/>
            <w:gridSpan w:val="2"/>
            <w:shd w:val="clear" w:color="auto" w:fill="F2F2F2" w:themeFill="background1" w:themeFillShade="F2"/>
          </w:tcPr>
          <w:p w:rsidR="00462DAC" w:rsidRPr="00462DAC" w:rsidRDefault="00462DAC" w:rsidP="00462DAC">
            <w:pPr>
              <w:ind w:right="34"/>
              <w:jc w:val="center"/>
              <w:rPr>
                <w:bCs/>
                <w:i/>
              </w:rPr>
            </w:pPr>
            <w:r>
              <w:rPr>
                <w:bCs/>
                <w:i/>
              </w:rPr>
              <w:t>Public/Product Liability / Professional Indemnity</w:t>
            </w:r>
          </w:p>
        </w:tc>
      </w:tr>
      <w:tr w:rsidR="00E825B6" w:rsidTr="006908F2">
        <w:tc>
          <w:tcPr>
            <w:tcW w:w="7650" w:type="dxa"/>
            <w:shd w:val="clear" w:color="auto" w:fill="F2F2F2" w:themeFill="background1" w:themeFillShade="F2"/>
          </w:tcPr>
          <w:p w:rsidR="00E825B6" w:rsidRDefault="00E825B6" w:rsidP="00E825B6">
            <w:pPr>
              <w:ind w:right="-852"/>
              <w:jc w:val="both"/>
              <w:rPr>
                <w:bCs/>
              </w:rPr>
            </w:pPr>
            <w:r>
              <w:rPr>
                <w:bCs/>
              </w:rPr>
              <w:t>Other factors considered as part of the risk assessment:</w:t>
            </w:r>
          </w:p>
        </w:tc>
        <w:tc>
          <w:tcPr>
            <w:tcW w:w="3686" w:type="dxa"/>
          </w:tcPr>
          <w:p w:rsidR="00E825B6" w:rsidRDefault="00E825B6" w:rsidP="00E825B6">
            <w:pPr>
              <w:ind w:right="34"/>
              <w:jc w:val="both"/>
              <w:rPr>
                <w:bCs/>
              </w:rPr>
            </w:pPr>
          </w:p>
          <w:p w:rsidR="00E825B6" w:rsidRDefault="00E825B6" w:rsidP="00E825B6">
            <w:pPr>
              <w:ind w:right="34"/>
              <w:jc w:val="both"/>
              <w:rPr>
                <w:bCs/>
              </w:rPr>
            </w:pPr>
          </w:p>
        </w:tc>
      </w:tr>
    </w:tbl>
    <w:p w:rsidR="00462DAC" w:rsidRDefault="00462DAC" w:rsidP="00462DAC">
      <w:pPr>
        <w:spacing w:after="0" w:line="240" w:lineRule="auto"/>
        <w:ind w:left="-851" w:right="-852"/>
        <w:jc w:val="both"/>
        <w:rPr>
          <w:bCs/>
        </w:rPr>
      </w:pPr>
    </w:p>
    <w:p w:rsidR="00462DAC" w:rsidRDefault="00462DAC" w:rsidP="00462DAC">
      <w:pPr>
        <w:spacing w:after="0" w:line="240" w:lineRule="auto"/>
        <w:ind w:left="-851" w:right="-852"/>
        <w:jc w:val="both"/>
        <w:rPr>
          <w:bCs/>
        </w:rPr>
      </w:pPr>
    </w:p>
    <w:p w:rsidR="00634D6A" w:rsidRPr="00462DAC" w:rsidRDefault="00462DAC" w:rsidP="00462DAC">
      <w:pPr>
        <w:spacing w:after="0" w:line="240" w:lineRule="auto"/>
        <w:ind w:left="-851" w:right="-852"/>
        <w:jc w:val="both"/>
        <w:rPr>
          <w:b/>
          <w:bCs/>
        </w:rPr>
      </w:pPr>
      <w:r w:rsidRPr="00462DAC">
        <w:rPr>
          <w:b/>
          <w:bCs/>
        </w:rPr>
        <w:t xml:space="preserve">Risk Matrices from the </w:t>
      </w:r>
      <w:hyperlink r:id="rId12" w:history="1">
        <w:r w:rsidRPr="00462DAC">
          <w:rPr>
            <w:rStyle w:val="Hyperlink"/>
            <w:b/>
          </w:rPr>
          <w:t>Insurance/Indemnity &amp; Procurement Guidance</w:t>
        </w:r>
      </w:hyperlink>
      <w:r w:rsidRPr="00462DAC">
        <w:rPr>
          <w:rStyle w:val="Hyperlink"/>
          <w:color w:val="auto"/>
          <w:u w:val="none"/>
        </w:rPr>
        <w:t>:</w:t>
      </w:r>
    </w:p>
    <w:p w:rsidR="00307E15" w:rsidRDefault="00462DAC" w:rsidP="00462DAC">
      <w:pPr>
        <w:spacing w:after="0" w:line="240" w:lineRule="auto"/>
        <w:ind w:left="-851" w:right="-852"/>
        <w:jc w:val="both"/>
        <w:rPr>
          <w:bCs/>
        </w:rPr>
      </w:pPr>
      <w:r w:rsidRPr="00462DAC">
        <w:rPr>
          <w:b/>
          <w:noProof/>
          <w:lang w:eastAsia="en-GB"/>
        </w:rPr>
        <w:drawing>
          <wp:anchor distT="0" distB="0" distL="114300" distR="114300" simplePos="0" relativeHeight="251658240" behindDoc="1" locked="0" layoutInCell="1" allowOverlap="1">
            <wp:simplePos x="0" y="0"/>
            <wp:positionH relativeFrom="margin">
              <wp:posOffset>-501015</wp:posOffset>
            </wp:positionH>
            <wp:positionV relativeFrom="paragraph">
              <wp:posOffset>314325</wp:posOffset>
            </wp:positionV>
            <wp:extent cx="7143115" cy="2867025"/>
            <wp:effectExtent l="0" t="0" r="635" b="9525"/>
            <wp:wrapTight wrapText="bothSides">
              <wp:wrapPolygon edited="0">
                <wp:start x="0" y="0"/>
                <wp:lineTo x="0" y="21528"/>
                <wp:lineTo x="21544" y="21528"/>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1846" b="5234"/>
                    <a:stretch/>
                  </pic:blipFill>
                  <pic:spPr bwMode="auto">
                    <a:xfrm>
                      <a:off x="0" y="0"/>
                      <a:ext cx="7143115" cy="2867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07E15" w:rsidSect="00860199">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0B" w:rsidRDefault="003A7D0B" w:rsidP="008912D6">
      <w:pPr>
        <w:spacing w:after="0" w:line="240" w:lineRule="auto"/>
      </w:pPr>
      <w:r>
        <w:separator/>
      </w:r>
    </w:p>
  </w:endnote>
  <w:endnote w:type="continuationSeparator" w:id="0">
    <w:p w:rsidR="003A7D0B" w:rsidRDefault="003A7D0B" w:rsidP="0089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D6" w:rsidRDefault="008912D6" w:rsidP="00860199">
    <w:pPr>
      <w:pStyle w:val="Footer"/>
    </w:pPr>
  </w:p>
  <w:p w:rsidR="008912D6" w:rsidRDefault="0089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0B" w:rsidRDefault="003A7D0B" w:rsidP="008912D6">
      <w:pPr>
        <w:spacing w:after="0" w:line="240" w:lineRule="auto"/>
      </w:pPr>
      <w:r>
        <w:separator/>
      </w:r>
    </w:p>
  </w:footnote>
  <w:footnote w:type="continuationSeparator" w:id="0">
    <w:p w:rsidR="003A7D0B" w:rsidRDefault="003A7D0B" w:rsidP="00891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BF4"/>
    <w:multiLevelType w:val="hybridMultilevel"/>
    <w:tmpl w:val="2808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0C3192"/>
    <w:multiLevelType w:val="hybridMultilevel"/>
    <w:tmpl w:val="F94C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010D8"/>
    <w:multiLevelType w:val="hybridMultilevel"/>
    <w:tmpl w:val="C0CE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A218EA"/>
    <w:multiLevelType w:val="hybridMultilevel"/>
    <w:tmpl w:val="3488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7B"/>
    <w:rsid w:val="000035E3"/>
    <w:rsid w:val="000322D5"/>
    <w:rsid w:val="000F4170"/>
    <w:rsid w:val="00101B8B"/>
    <w:rsid w:val="0011021A"/>
    <w:rsid w:val="0013144B"/>
    <w:rsid w:val="00132637"/>
    <w:rsid w:val="00140C85"/>
    <w:rsid w:val="00163B2E"/>
    <w:rsid w:val="0017522C"/>
    <w:rsid w:val="001A68B1"/>
    <w:rsid w:val="001D7F8A"/>
    <w:rsid w:val="00202933"/>
    <w:rsid w:val="002070BB"/>
    <w:rsid w:val="00235646"/>
    <w:rsid w:val="002412D6"/>
    <w:rsid w:val="00242B6F"/>
    <w:rsid w:val="002538F6"/>
    <w:rsid w:val="00262E84"/>
    <w:rsid w:val="00267BC1"/>
    <w:rsid w:val="0028154F"/>
    <w:rsid w:val="002C3364"/>
    <w:rsid w:val="002E76AE"/>
    <w:rsid w:val="00307E15"/>
    <w:rsid w:val="00320CA3"/>
    <w:rsid w:val="003237E5"/>
    <w:rsid w:val="00341AAB"/>
    <w:rsid w:val="003442AA"/>
    <w:rsid w:val="0038645A"/>
    <w:rsid w:val="003A7D0B"/>
    <w:rsid w:val="003D7911"/>
    <w:rsid w:val="003E4FAA"/>
    <w:rsid w:val="003E6BED"/>
    <w:rsid w:val="003F2428"/>
    <w:rsid w:val="0042033F"/>
    <w:rsid w:val="00424BA0"/>
    <w:rsid w:val="00440FC6"/>
    <w:rsid w:val="00462DAC"/>
    <w:rsid w:val="00467453"/>
    <w:rsid w:val="00481067"/>
    <w:rsid w:val="00497B44"/>
    <w:rsid w:val="004D7F61"/>
    <w:rsid w:val="004E2A0F"/>
    <w:rsid w:val="004E34D5"/>
    <w:rsid w:val="00500E72"/>
    <w:rsid w:val="005345B7"/>
    <w:rsid w:val="0053730E"/>
    <w:rsid w:val="00555D20"/>
    <w:rsid w:val="00582DD6"/>
    <w:rsid w:val="005B0C44"/>
    <w:rsid w:val="005E589E"/>
    <w:rsid w:val="005E766C"/>
    <w:rsid w:val="005F6062"/>
    <w:rsid w:val="00606EBA"/>
    <w:rsid w:val="006138E5"/>
    <w:rsid w:val="00634D6A"/>
    <w:rsid w:val="00635378"/>
    <w:rsid w:val="00635966"/>
    <w:rsid w:val="006379AF"/>
    <w:rsid w:val="0064226D"/>
    <w:rsid w:val="00644508"/>
    <w:rsid w:val="00685BBC"/>
    <w:rsid w:val="006C0DEC"/>
    <w:rsid w:val="006D43B3"/>
    <w:rsid w:val="006E340F"/>
    <w:rsid w:val="00754DA8"/>
    <w:rsid w:val="007C34DF"/>
    <w:rsid w:val="007E78C2"/>
    <w:rsid w:val="00842DA3"/>
    <w:rsid w:val="00860199"/>
    <w:rsid w:val="008607D7"/>
    <w:rsid w:val="0086336B"/>
    <w:rsid w:val="008912D6"/>
    <w:rsid w:val="008B427B"/>
    <w:rsid w:val="008D2018"/>
    <w:rsid w:val="008D2E1E"/>
    <w:rsid w:val="008F5F54"/>
    <w:rsid w:val="00902BBE"/>
    <w:rsid w:val="009100DA"/>
    <w:rsid w:val="00927212"/>
    <w:rsid w:val="00940C18"/>
    <w:rsid w:val="00946A79"/>
    <w:rsid w:val="009516FB"/>
    <w:rsid w:val="0095711F"/>
    <w:rsid w:val="00962399"/>
    <w:rsid w:val="0096459C"/>
    <w:rsid w:val="00995827"/>
    <w:rsid w:val="009A3FFC"/>
    <w:rsid w:val="009B4659"/>
    <w:rsid w:val="009C0C9E"/>
    <w:rsid w:val="009C2CD9"/>
    <w:rsid w:val="009D3870"/>
    <w:rsid w:val="009D7485"/>
    <w:rsid w:val="009E00E3"/>
    <w:rsid w:val="009F0C83"/>
    <w:rsid w:val="00A058CF"/>
    <w:rsid w:val="00A0799C"/>
    <w:rsid w:val="00A21154"/>
    <w:rsid w:val="00A313DE"/>
    <w:rsid w:val="00A32D6B"/>
    <w:rsid w:val="00A37ECD"/>
    <w:rsid w:val="00A640A5"/>
    <w:rsid w:val="00A75451"/>
    <w:rsid w:val="00AB7BE3"/>
    <w:rsid w:val="00AC61DF"/>
    <w:rsid w:val="00AF2E58"/>
    <w:rsid w:val="00B176D6"/>
    <w:rsid w:val="00B62B69"/>
    <w:rsid w:val="00B63C2A"/>
    <w:rsid w:val="00B90D0E"/>
    <w:rsid w:val="00BA0090"/>
    <w:rsid w:val="00BA45DB"/>
    <w:rsid w:val="00BF483F"/>
    <w:rsid w:val="00BF6482"/>
    <w:rsid w:val="00C35BA7"/>
    <w:rsid w:val="00C7511A"/>
    <w:rsid w:val="00C93656"/>
    <w:rsid w:val="00CA2739"/>
    <w:rsid w:val="00D14123"/>
    <w:rsid w:val="00D34338"/>
    <w:rsid w:val="00D700CC"/>
    <w:rsid w:val="00D83CB3"/>
    <w:rsid w:val="00D8788B"/>
    <w:rsid w:val="00DA46B2"/>
    <w:rsid w:val="00DA6F23"/>
    <w:rsid w:val="00E02E07"/>
    <w:rsid w:val="00E1453A"/>
    <w:rsid w:val="00E16067"/>
    <w:rsid w:val="00E30C10"/>
    <w:rsid w:val="00E71B23"/>
    <w:rsid w:val="00E7750D"/>
    <w:rsid w:val="00E825B6"/>
    <w:rsid w:val="00E96973"/>
    <w:rsid w:val="00EA29FB"/>
    <w:rsid w:val="00EB262F"/>
    <w:rsid w:val="00EE3406"/>
    <w:rsid w:val="00EE6322"/>
    <w:rsid w:val="00F018F0"/>
    <w:rsid w:val="00F13141"/>
    <w:rsid w:val="00F36A16"/>
    <w:rsid w:val="00F45364"/>
    <w:rsid w:val="00F54B3E"/>
    <w:rsid w:val="00F81EE9"/>
    <w:rsid w:val="00F8653C"/>
    <w:rsid w:val="00FB4681"/>
    <w:rsid w:val="00FD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7B"/>
    <w:rPr>
      <w:rFonts w:ascii="Tahoma" w:hAnsi="Tahoma" w:cs="Tahoma"/>
      <w:sz w:val="16"/>
      <w:szCs w:val="16"/>
    </w:rPr>
  </w:style>
  <w:style w:type="table" w:styleId="TableGrid">
    <w:name w:val="Table Grid"/>
    <w:basedOn w:val="TableNormal"/>
    <w:uiPriority w:val="59"/>
    <w:rsid w:val="006D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2D6"/>
  </w:style>
  <w:style w:type="paragraph" w:styleId="Footer">
    <w:name w:val="footer"/>
    <w:basedOn w:val="Normal"/>
    <w:link w:val="FooterChar"/>
    <w:uiPriority w:val="99"/>
    <w:unhideWhenUsed/>
    <w:rsid w:val="00891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2D6"/>
  </w:style>
  <w:style w:type="paragraph" w:styleId="ListParagraph">
    <w:name w:val="List Paragraph"/>
    <w:basedOn w:val="Normal"/>
    <w:uiPriority w:val="34"/>
    <w:qFormat/>
    <w:rsid w:val="00685BBC"/>
    <w:pPr>
      <w:ind w:left="720"/>
      <w:contextualSpacing/>
    </w:pPr>
  </w:style>
  <w:style w:type="paragraph" w:styleId="FootnoteText">
    <w:name w:val="footnote text"/>
    <w:basedOn w:val="Normal"/>
    <w:link w:val="FootnoteTextChar"/>
    <w:uiPriority w:val="99"/>
    <w:semiHidden/>
    <w:unhideWhenUsed/>
    <w:rsid w:val="00537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30E"/>
    <w:rPr>
      <w:sz w:val="20"/>
      <w:szCs w:val="20"/>
    </w:rPr>
  </w:style>
  <w:style w:type="character" w:styleId="FootnoteReference">
    <w:name w:val="footnote reference"/>
    <w:basedOn w:val="DefaultParagraphFont"/>
    <w:uiPriority w:val="99"/>
    <w:semiHidden/>
    <w:unhideWhenUsed/>
    <w:rsid w:val="0053730E"/>
    <w:rPr>
      <w:vertAlign w:val="superscript"/>
    </w:rPr>
  </w:style>
  <w:style w:type="character" w:styleId="Hyperlink">
    <w:name w:val="Hyperlink"/>
    <w:basedOn w:val="DefaultParagraphFont"/>
    <w:uiPriority w:val="99"/>
    <w:unhideWhenUsed/>
    <w:rsid w:val="00EB26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7B"/>
    <w:rPr>
      <w:rFonts w:ascii="Tahoma" w:hAnsi="Tahoma" w:cs="Tahoma"/>
      <w:sz w:val="16"/>
      <w:szCs w:val="16"/>
    </w:rPr>
  </w:style>
  <w:style w:type="table" w:styleId="TableGrid">
    <w:name w:val="Table Grid"/>
    <w:basedOn w:val="TableNormal"/>
    <w:uiPriority w:val="59"/>
    <w:rsid w:val="006D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2D6"/>
  </w:style>
  <w:style w:type="paragraph" w:styleId="Footer">
    <w:name w:val="footer"/>
    <w:basedOn w:val="Normal"/>
    <w:link w:val="FooterChar"/>
    <w:uiPriority w:val="99"/>
    <w:unhideWhenUsed/>
    <w:rsid w:val="00891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2D6"/>
  </w:style>
  <w:style w:type="paragraph" w:styleId="ListParagraph">
    <w:name w:val="List Paragraph"/>
    <w:basedOn w:val="Normal"/>
    <w:uiPriority w:val="34"/>
    <w:qFormat/>
    <w:rsid w:val="00685BBC"/>
    <w:pPr>
      <w:ind w:left="720"/>
      <w:contextualSpacing/>
    </w:pPr>
  </w:style>
  <w:style w:type="paragraph" w:styleId="FootnoteText">
    <w:name w:val="footnote text"/>
    <w:basedOn w:val="Normal"/>
    <w:link w:val="FootnoteTextChar"/>
    <w:uiPriority w:val="99"/>
    <w:semiHidden/>
    <w:unhideWhenUsed/>
    <w:rsid w:val="00537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30E"/>
    <w:rPr>
      <w:sz w:val="20"/>
      <w:szCs w:val="20"/>
    </w:rPr>
  </w:style>
  <w:style w:type="character" w:styleId="FootnoteReference">
    <w:name w:val="footnote reference"/>
    <w:basedOn w:val="DefaultParagraphFont"/>
    <w:uiPriority w:val="99"/>
    <w:semiHidden/>
    <w:unhideWhenUsed/>
    <w:rsid w:val="0053730E"/>
    <w:rPr>
      <w:vertAlign w:val="superscript"/>
    </w:rPr>
  </w:style>
  <w:style w:type="character" w:styleId="Hyperlink">
    <w:name w:val="Hyperlink"/>
    <w:basedOn w:val="DefaultParagraphFont"/>
    <w:uiPriority w:val="99"/>
    <w:unhideWhenUsed/>
    <w:rsid w:val="00EB2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le.ac.uk/offices/purchasing/procurement-policies-and-guidance/supplier-indemnity-insurance-cover"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lifford@bournemouth.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2.le.ac.uk/offices/finance/information-for-staff/financial-operations/procurement/procurement-regulations"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5</Value>
    </School_x002f_PS>
    <Author0 xmlns="D259749B-A2FA-4762-BAAE-748A846B9902">
      <UserInfo>
        <DisplayName>i:0#.w|staff\njoyce</DisplayName>
        <AccountId>1257</AccountId>
        <AccountType/>
      </UserInfo>
    </Author0>
    <Target_x0020_Audiences xmlns="D259749B-A2FA-4762-BAAE-748A846B9902" xsi:nil="true"/>
    <_Status xmlns="http://schemas.microsoft.com/sharepoint/v3/fields" xsi:nil="true"/>
    <Published_x0020_Date xmlns="D259749B-A2FA-4762-BAAE-748A846B9902">2018-08-13T23:00:00+00:00</Published_x0020_Date>
    <Description0 xmlns="D259749B-A2FA-4762-BAAE-748A846B9902">Request to change insurance limit from mandated insurance cap</Description0>
    <Expiry_x0020_Date xmlns="D259749B-A2FA-4762-BAAE-748A846B9902">2020-08-13T23:00:00+00:00</Expiry_x0020_Date>
    <_dlc_DocId xmlns="7845b4e5-581f-4554-8843-a411c9829904">ZXDD766ENQDJ-737846793-2982</_dlc_DocId>
    <_dlc_DocIdUrl xmlns="7845b4e5-581f-4554-8843-a411c9829904">
      <Url>https://intranetsp.bournemouth.ac.uk/_layouts/15/DocIdRedir.aspx?ID=ZXDD766ENQDJ-737846793-2982</Url>
      <Description>ZXDD766ENQDJ-737846793-2982</Description>
    </_dlc_DocIdUrl>
  </documentManagement>
</p:properties>
</file>

<file path=customXml/itemProps1.xml><?xml version="1.0" encoding="utf-8"?>
<ds:datastoreItem xmlns:ds="http://schemas.openxmlformats.org/officeDocument/2006/customXml" ds:itemID="{988C3267-A830-49BD-8EA6-AF19105C626B}">
  <ds:schemaRefs>
    <ds:schemaRef ds:uri="http://schemas.openxmlformats.org/officeDocument/2006/bibliography"/>
  </ds:schemaRefs>
</ds:datastoreItem>
</file>

<file path=customXml/itemProps2.xml><?xml version="1.0" encoding="utf-8"?>
<ds:datastoreItem xmlns:ds="http://schemas.openxmlformats.org/officeDocument/2006/customXml" ds:itemID="{DB0B85ED-2522-4691-8675-A4EDAABECA62}"/>
</file>

<file path=customXml/itemProps3.xml><?xml version="1.0" encoding="utf-8"?>
<ds:datastoreItem xmlns:ds="http://schemas.openxmlformats.org/officeDocument/2006/customXml" ds:itemID="{C8C0C622-F414-4536-BA7E-1D4710B7B87C}"/>
</file>

<file path=customXml/itemProps4.xml><?xml version="1.0" encoding="utf-8"?>
<ds:datastoreItem xmlns:ds="http://schemas.openxmlformats.org/officeDocument/2006/customXml" ds:itemID="{8B0D52F3-C975-449C-B097-9E85456AA33B}"/>
</file>

<file path=customXml/itemProps5.xml><?xml version="1.0" encoding="utf-8"?>
<ds:datastoreItem xmlns:ds="http://schemas.openxmlformats.org/officeDocument/2006/customXml" ds:itemID="{61682B06-A3B2-4394-81DF-79ECD28CE23C}"/>
</file>

<file path=docProps/app.xml><?xml version="1.0" encoding="utf-8"?>
<Properties xmlns="http://schemas.openxmlformats.org/officeDocument/2006/extended-properties" xmlns:vt="http://schemas.openxmlformats.org/officeDocument/2006/docPropsVTypes">
  <Template>Normal.dotm</Template>
  <TotalTime>12</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Default Limit Change request form</dc:title>
  <dc:creator>jt266</dc:creator>
  <cp:keywords>Insurance limit change </cp:keywords>
  <cp:lastModifiedBy>Nicola Joyce</cp:lastModifiedBy>
  <cp:revision>4</cp:revision>
  <cp:lastPrinted>2017-02-10T09:34:00Z</cp:lastPrinted>
  <dcterms:created xsi:type="dcterms:W3CDTF">2017-04-21T11:35:00Z</dcterms:created>
  <dcterms:modified xsi:type="dcterms:W3CDTF">2017-07-11T08:21:00Z</dcterms:modified>
  <cp:contentStatus>Procurement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ef1860f1-ee16-44a2-85a4-274c2219225d</vt:lpwstr>
  </property>
</Properties>
</file>